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3031" w14:textId="476B5C05" w:rsidR="00A44D95" w:rsidRPr="00835574" w:rsidRDefault="00A44D95" w:rsidP="00421E8E">
      <w:pPr>
        <w:pStyle w:val="Sinespaciado"/>
        <w:jc w:val="both"/>
      </w:pPr>
      <w:r w:rsidRPr="00835574">
        <w:t>Palacio de Gobierno, Oaxaca de Juárez, Oaxaca, 1</w:t>
      </w:r>
      <w:r w:rsidR="009C11A0">
        <w:t>4</w:t>
      </w:r>
      <w:r w:rsidRPr="00835574">
        <w:t xml:space="preserve"> de noviembre de 2022.</w:t>
      </w:r>
    </w:p>
    <w:p w14:paraId="1AAD80D3" w14:textId="77777777" w:rsidR="00A44D95" w:rsidRPr="00835574" w:rsidRDefault="00A44D95" w:rsidP="00421E8E">
      <w:pPr>
        <w:pStyle w:val="Sinespaciado"/>
        <w:jc w:val="both"/>
        <w:rPr>
          <w:b/>
          <w:bCs/>
        </w:rPr>
      </w:pPr>
    </w:p>
    <w:p w14:paraId="0D33DAE6" w14:textId="6964B041" w:rsidR="00A44D95" w:rsidRPr="00835574" w:rsidRDefault="00A44D95" w:rsidP="00421E8E">
      <w:pPr>
        <w:pStyle w:val="Sinespaciado"/>
        <w:jc w:val="both"/>
        <w:rPr>
          <w:b/>
          <w:bCs/>
        </w:rPr>
      </w:pPr>
      <w:r w:rsidRPr="00835574">
        <w:rPr>
          <w:b/>
          <w:bCs/>
        </w:rPr>
        <w:t xml:space="preserve">Diputada </w:t>
      </w:r>
      <w:r w:rsidR="00053B07">
        <w:rPr>
          <w:b/>
          <w:bCs/>
        </w:rPr>
        <w:t>Miriam de los Ángeles Vásquez Ruíz</w:t>
      </w:r>
      <w:r w:rsidRPr="00835574">
        <w:rPr>
          <w:b/>
          <w:bCs/>
        </w:rPr>
        <w:t xml:space="preserve">, </w:t>
      </w:r>
    </w:p>
    <w:p w14:paraId="19615E88" w14:textId="77777777" w:rsidR="00A44D95" w:rsidRPr="00835574" w:rsidRDefault="00A44D95" w:rsidP="00421E8E">
      <w:pPr>
        <w:pStyle w:val="Sinespaciado"/>
        <w:jc w:val="both"/>
        <w:rPr>
          <w:b/>
          <w:bCs/>
        </w:rPr>
      </w:pPr>
      <w:r w:rsidRPr="00835574">
        <w:rPr>
          <w:b/>
          <w:bCs/>
        </w:rPr>
        <w:t xml:space="preserve">Presidenta de la Mesa Directiva, </w:t>
      </w:r>
    </w:p>
    <w:p w14:paraId="47744AFE" w14:textId="08BEDDF3" w:rsidR="00A44D95" w:rsidRPr="00835574" w:rsidRDefault="00A44D95" w:rsidP="00421E8E">
      <w:pPr>
        <w:pStyle w:val="Sinespaciado"/>
        <w:jc w:val="both"/>
        <w:rPr>
          <w:b/>
          <w:bCs/>
        </w:rPr>
      </w:pPr>
      <w:r w:rsidRPr="00835574">
        <w:rPr>
          <w:b/>
          <w:bCs/>
        </w:rPr>
        <w:t xml:space="preserve">Sexagésima </w:t>
      </w:r>
      <w:r w:rsidR="00053B07">
        <w:rPr>
          <w:b/>
          <w:bCs/>
        </w:rPr>
        <w:t xml:space="preserve">Quinta </w:t>
      </w:r>
      <w:r w:rsidRPr="00835574">
        <w:rPr>
          <w:b/>
          <w:bCs/>
        </w:rPr>
        <w:t xml:space="preserve">Legislatura Constitucional, </w:t>
      </w:r>
    </w:p>
    <w:p w14:paraId="536DC5F8" w14:textId="77777777" w:rsidR="00A44D95" w:rsidRPr="00835574" w:rsidRDefault="00A44D95" w:rsidP="00421E8E">
      <w:pPr>
        <w:pStyle w:val="Sinespaciado"/>
        <w:jc w:val="both"/>
        <w:rPr>
          <w:b/>
          <w:bCs/>
        </w:rPr>
      </w:pPr>
      <w:r w:rsidRPr="00835574">
        <w:rPr>
          <w:b/>
          <w:bCs/>
        </w:rPr>
        <w:t xml:space="preserve">Congreso Del Estado De Oaxaca. </w:t>
      </w:r>
    </w:p>
    <w:p w14:paraId="355090D0" w14:textId="77777777" w:rsidR="00A44D95" w:rsidRPr="00835574" w:rsidRDefault="00A44D95" w:rsidP="00421E8E">
      <w:pPr>
        <w:pStyle w:val="Sinespaciado"/>
        <w:jc w:val="both"/>
      </w:pPr>
    </w:p>
    <w:p w14:paraId="6ED04D9B" w14:textId="51728DF6" w:rsidR="00A44D95" w:rsidRPr="00835574" w:rsidRDefault="00A44D95" w:rsidP="00421E8E">
      <w:pPr>
        <w:pStyle w:val="Sinespaciado"/>
        <w:jc w:val="both"/>
      </w:pPr>
      <w:r w:rsidRPr="00835574">
        <w:rPr>
          <w:b/>
          <w:bCs/>
        </w:rPr>
        <w:t>Maestro Alejandro Ismael Murat Hinojosa</w:t>
      </w:r>
      <w:r w:rsidRPr="00835574">
        <w:t>, Gobernador Constitucional del Estado Libre y Soberano de Oaxaca, en ejercicio de las facultades que me confieren los artículos 50 fracción II, 79 fracción I, y en cumplimiento a lo previsto en el artículo 80 fracci</w:t>
      </w:r>
      <w:r w:rsidR="00962564" w:rsidRPr="00835574">
        <w:t>ón</w:t>
      </w:r>
      <w:r w:rsidRPr="00835574">
        <w:t xml:space="preserve"> IV, de la Constitución Política del Estado Libre y Soberano de Oaxaca; 37 fracción II de la Ley Estatal de Presupuesto y Responsabilidad Hacendaria, 2, 6 primer párrafo de la Ley Orgánica del Poder Ejecutivo del Estado vigente, por su conducto, presento a consideración de esa Honorable Legislatura, la iniciativa de Decreto de Presupuesto de Egresos para el Estado de Oaxaca para el Ejercicio Fiscal 2023, al tenor de la siguiente:</w:t>
      </w:r>
    </w:p>
    <w:p w14:paraId="483E2F8A" w14:textId="77777777" w:rsidR="00A44D95" w:rsidRPr="00835574" w:rsidRDefault="00A44D95" w:rsidP="00421E8E">
      <w:pPr>
        <w:pStyle w:val="Sinespaciado"/>
        <w:jc w:val="both"/>
        <w:rPr>
          <w:b/>
          <w:bCs/>
        </w:rPr>
      </w:pPr>
    </w:p>
    <w:p w14:paraId="14B2A145" w14:textId="77777777" w:rsidR="00A44D95" w:rsidRPr="00835574" w:rsidRDefault="00A44D95" w:rsidP="00421E8E">
      <w:pPr>
        <w:pStyle w:val="Sinespaciado"/>
        <w:jc w:val="both"/>
        <w:rPr>
          <w:b/>
          <w:bCs/>
        </w:rPr>
      </w:pPr>
      <w:r w:rsidRPr="00835574">
        <w:rPr>
          <w:b/>
          <w:bCs/>
        </w:rPr>
        <w:t>EXPOSICIÓN DE MOTIVOS</w:t>
      </w:r>
    </w:p>
    <w:p w14:paraId="2352CC11" w14:textId="77777777" w:rsidR="00A44D95" w:rsidRPr="00835574" w:rsidRDefault="00A44D95" w:rsidP="00421E8E">
      <w:pPr>
        <w:pStyle w:val="Sinespaciado"/>
        <w:jc w:val="both"/>
        <w:rPr>
          <w:b/>
          <w:bCs/>
        </w:rPr>
      </w:pPr>
    </w:p>
    <w:p w14:paraId="4E350F41" w14:textId="5DF2DA15" w:rsidR="00877997" w:rsidRPr="00835574" w:rsidRDefault="00877997" w:rsidP="00421E8E">
      <w:pPr>
        <w:pStyle w:val="Sinespaciado"/>
        <w:jc w:val="both"/>
      </w:pPr>
      <w:r w:rsidRPr="00835574">
        <w:t xml:space="preserve">En el ejercicio fiscal 2023, el gobierno del Estado </w:t>
      </w:r>
      <w:r w:rsidR="000A5247" w:rsidRPr="00835574">
        <w:t>deberá enfocarse en el</w:t>
      </w:r>
      <w:r w:rsidRPr="00835574">
        <w:t xml:space="preserve"> fortalecimiento del gasto público, siempre en línea con los objetivos de desarrollo en el largo plazo, que permitan el crecimiento económico de la </w:t>
      </w:r>
      <w:r w:rsidR="000A5247" w:rsidRPr="00835574">
        <w:t>E</w:t>
      </w:r>
      <w:r w:rsidRPr="00835574">
        <w:t>ntidad y que consecuentemente mejore el nivel de vida de la población oaxaqueña, reduciendo la brecha económica, combatiendo la desigualdad de género, así como haciendo un uso responsable de los recursos naturales disponibles.</w:t>
      </w:r>
    </w:p>
    <w:p w14:paraId="33712252" w14:textId="77777777" w:rsidR="00A44D95" w:rsidRPr="00835574" w:rsidRDefault="00A44D95" w:rsidP="00421E8E">
      <w:pPr>
        <w:pStyle w:val="Sinespaciado"/>
        <w:jc w:val="both"/>
      </w:pPr>
    </w:p>
    <w:p w14:paraId="64971397" w14:textId="5CFC7283" w:rsidR="00877997" w:rsidRPr="00835574" w:rsidRDefault="00877997" w:rsidP="00421E8E">
      <w:pPr>
        <w:pStyle w:val="Sinespaciado"/>
        <w:jc w:val="both"/>
      </w:pPr>
      <w:r w:rsidRPr="00835574">
        <w:t xml:space="preserve">Es crucial que tanto la política hacendaria como la presupuestaria sean manejadas con responsabilidad, ya que </w:t>
      </w:r>
      <w:r w:rsidR="00536713" w:rsidRPr="00835574">
        <w:t xml:space="preserve">con </w:t>
      </w:r>
      <w:r w:rsidRPr="00835574">
        <w:t xml:space="preserve">ello </w:t>
      </w:r>
      <w:r w:rsidR="000A5247" w:rsidRPr="00835574">
        <w:t xml:space="preserve">se </w:t>
      </w:r>
      <w:r w:rsidRPr="00835574">
        <w:t xml:space="preserve">propicia un entorno económico próspero y atractivo para la inversión, misma que es un importante pilar para la economía </w:t>
      </w:r>
      <w:r w:rsidR="000A5247" w:rsidRPr="00835574">
        <w:t>de Oaxaca</w:t>
      </w:r>
      <w:r w:rsidRPr="00835574">
        <w:t>. Asimismo, es de vital importancia la implementación de políticas públicas que fomenten el desarrollo social y garanticen el estado de derecho de los ciudadanos para estimular la transformación económica y social del estado de Oaxaca.</w:t>
      </w:r>
    </w:p>
    <w:p w14:paraId="04176832" w14:textId="11050123" w:rsidR="000A5247" w:rsidRPr="00835574" w:rsidRDefault="000A5247" w:rsidP="00421E8E">
      <w:pPr>
        <w:pStyle w:val="Sinespaciado"/>
        <w:jc w:val="both"/>
        <w:rPr>
          <w:b/>
          <w:bCs/>
        </w:rPr>
      </w:pPr>
    </w:p>
    <w:p w14:paraId="67E7FFB4" w14:textId="77777777" w:rsidR="000A5247" w:rsidRPr="00835574" w:rsidRDefault="000A5247" w:rsidP="00421E8E">
      <w:pPr>
        <w:pStyle w:val="Sinespaciado"/>
        <w:jc w:val="both"/>
        <w:rPr>
          <w:b/>
          <w:bCs/>
        </w:rPr>
      </w:pPr>
      <w:r w:rsidRPr="00835574">
        <w:rPr>
          <w:b/>
          <w:bCs/>
        </w:rPr>
        <w:t>PANORAMA ECONÓMICO</w:t>
      </w:r>
    </w:p>
    <w:p w14:paraId="03293A7E" w14:textId="77777777" w:rsidR="000A5247" w:rsidRPr="00835574" w:rsidRDefault="000A5247" w:rsidP="00421E8E">
      <w:pPr>
        <w:pStyle w:val="Sinespaciado"/>
        <w:jc w:val="both"/>
      </w:pPr>
    </w:p>
    <w:p w14:paraId="6D45489A" w14:textId="3E4716EC" w:rsidR="00877997" w:rsidRPr="00835574" w:rsidRDefault="00877997" w:rsidP="00421E8E">
      <w:pPr>
        <w:pStyle w:val="Sinespaciado"/>
        <w:jc w:val="both"/>
      </w:pPr>
      <w:r w:rsidRPr="00835574">
        <w:t>El Fondo Monetario Internacional (FMI)</w:t>
      </w:r>
      <w:r w:rsidRPr="00835574">
        <w:rPr>
          <w:rStyle w:val="Refdenotaalpie"/>
          <w:rFonts w:ascii="Arial" w:hAnsi="Arial" w:cs="Arial"/>
        </w:rPr>
        <w:footnoteReference w:id="1"/>
      </w:r>
      <w:r w:rsidRPr="00835574">
        <w:t>, según pronóstico base, prevé un crecimiento mundial de 3.2 por ciento en 2022 y</w:t>
      </w:r>
      <w:r w:rsidR="00B56269">
        <w:t>,</w:t>
      </w:r>
      <w:r w:rsidRPr="00835574">
        <w:t xml:space="preserve"> para luego moderarse a 2.9 por ciento en 2023, es decir, 0.4 y 0.7 puntos porcentuales, respectivamente, por debajo de lo proyectado en el informe de Perspectivas de la Economía Mundial (WEO por sus siglas en ingl</w:t>
      </w:r>
      <w:r w:rsidR="00F05DBB" w:rsidRPr="00835574">
        <w:t>é</w:t>
      </w:r>
      <w:r w:rsidRPr="00835574">
        <w:t xml:space="preserve">s) de abril de 2022, mismo que pronosticaba un crecimiento del 3.6 por ciento para 2022 y 2023. Es decir, la economía mundial se estima que tendrá </w:t>
      </w:r>
      <w:r w:rsidRPr="00835574">
        <w:lastRenderedPageBreak/>
        <w:t>una contracción del 2.9 por ciento con respecto al crecimiento registrado en 2021 el cual fue de 6.1 por ciento.</w:t>
      </w:r>
    </w:p>
    <w:p w14:paraId="15FF2692" w14:textId="77777777" w:rsidR="00877997" w:rsidRPr="00835574" w:rsidRDefault="00877997" w:rsidP="00421E8E">
      <w:pPr>
        <w:pStyle w:val="Sinespaciado"/>
        <w:jc w:val="both"/>
      </w:pPr>
    </w:p>
    <w:p w14:paraId="787774CB" w14:textId="77777777" w:rsidR="00877997" w:rsidRPr="00835574" w:rsidRDefault="00877997" w:rsidP="00421E8E">
      <w:pPr>
        <w:pStyle w:val="Sinespaciado"/>
        <w:jc w:val="both"/>
      </w:pPr>
      <w:r w:rsidRPr="00835574">
        <w:t>La alta inflación, especialmente en Estados Unidos y las principales economías europeas, el endurecimiento de las condiciones financieras mundiales, el encarecimiento de la energía, los nuevos confinamientos y las crisis geopolíticas presentan un panorama muy complicado para el segundo semestre del 2022 y para todo el 2023.</w:t>
      </w:r>
    </w:p>
    <w:p w14:paraId="19C89412" w14:textId="77777777" w:rsidR="00877997" w:rsidRPr="00835574" w:rsidRDefault="00877997" w:rsidP="00421E8E">
      <w:pPr>
        <w:pStyle w:val="Sinespaciado"/>
        <w:jc w:val="both"/>
      </w:pPr>
    </w:p>
    <w:p w14:paraId="3EE547FD" w14:textId="77777777" w:rsidR="00877997" w:rsidRPr="00835574" w:rsidRDefault="00877997" w:rsidP="00421E8E">
      <w:pPr>
        <w:pStyle w:val="Sinespaciado"/>
        <w:jc w:val="both"/>
        <w:rPr>
          <w:b/>
          <w:bCs/>
        </w:rPr>
      </w:pPr>
      <w:r w:rsidRPr="00835574">
        <w:rPr>
          <w:b/>
          <w:bCs/>
        </w:rPr>
        <w:t>Entorno internacional</w:t>
      </w:r>
    </w:p>
    <w:p w14:paraId="7D077964" w14:textId="77777777" w:rsidR="00877997" w:rsidRPr="00835574" w:rsidRDefault="00877997" w:rsidP="00421E8E">
      <w:pPr>
        <w:pStyle w:val="Sinespaciado"/>
        <w:jc w:val="both"/>
      </w:pPr>
    </w:p>
    <w:p w14:paraId="22C8F248" w14:textId="4847302E" w:rsidR="00877997" w:rsidRPr="00835574" w:rsidRDefault="00877997" w:rsidP="00421E8E">
      <w:pPr>
        <w:pStyle w:val="Sinespaciado"/>
        <w:jc w:val="both"/>
      </w:pPr>
      <w:r w:rsidRPr="00835574">
        <w:t>La elevada inflación a causa del aumento de la energía (petróleo, gas y el carbón) derivado de los recortes realizados por Rusia en el suministro del gas y el petróleo</w:t>
      </w:r>
      <w:r w:rsidR="00B56269">
        <w:t>,</w:t>
      </w:r>
      <w:r w:rsidRPr="00835574">
        <w:t xml:space="preserve"> ha generado presiones extraordinarias en la zona euro, las principales economías de la región (Alemania, Francia e Italia) se preparan para un posible racionamiento de la energía para </w:t>
      </w:r>
      <w:r w:rsidR="009E61C0" w:rsidRPr="00835574">
        <w:t>el último trimestre</w:t>
      </w:r>
      <w:r w:rsidRPr="00835574">
        <w:t xml:space="preserve"> del 2022. El racionamiento energético y la alta inflación en la zona euro provocará</w:t>
      </w:r>
      <w:r w:rsidR="00355B6C" w:rsidRPr="00835574">
        <w:t>n</w:t>
      </w:r>
      <w:r w:rsidRPr="00835574">
        <w:t xml:space="preserve"> pérdida en la competitividad y una muy fuerte contracción económica. </w:t>
      </w:r>
    </w:p>
    <w:p w14:paraId="3346D2E1" w14:textId="77777777" w:rsidR="005A4A5D" w:rsidRPr="00835574" w:rsidRDefault="005A4A5D" w:rsidP="00421E8E">
      <w:pPr>
        <w:pStyle w:val="Sinespaciado"/>
        <w:jc w:val="both"/>
      </w:pPr>
    </w:p>
    <w:p w14:paraId="24A997BC" w14:textId="064E9DF0" w:rsidR="000A5247" w:rsidRPr="00835574" w:rsidRDefault="00B56269" w:rsidP="00421E8E">
      <w:pPr>
        <w:pStyle w:val="Sinespaciado"/>
        <w:jc w:val="both"/>
      </w:pPr>
      <w:r>
        <w:t>Al finalizar</w:t>
      </w:r>
      <w:r w:rsidR="00877997" w:rsidRPr="00835574">
        <w:t xml:space="preserve"> el año 2022, el FMI estima un crecimiento para la zona euro de 2.8 por ciento, 2.5 por ciento menor a lo registrado para</w:t>
      </w:r>
      <w:r w:rsidR="00355B6C" w:rsidRPr="00835574">
        <w:t xml:space="preserve"> </w:t>
      </w:r>
      <w:r w:rsidR="00877997" w:rsidRPr="00835574">
        <w:t xml:space="preserve">el año 2021, para 2023 las expectativas siguen siendo pesimistas pues se estima un crecimiento de 2.3 por ciento. Las economías que presentan una mayor contracción son Francia e Italia, pues se estima que para el año 2022 crecerán en un 2.9 y 2.3 por ciento respectivamente, muy lejos de lo registrado en 2021, 7.0 y 6.6 por ciento respectivamente, las estimaciones para el 2023 de estas dos economías son aún más preocupantes, pues se espera que crezcan, tan solo 1.4 y 1.7 por ciento respectivamente. </w:t>
      </w:r>
    </w:p>
    <w:p w14:paraId="32C57853" w14:textId="77777777" w:rsidR="000A5247" w:rsidRPr="00835574" w:rsidRDefault="000A5247" w:rsidP="00421E8E">
      <w:pPr>
        <w:pStyle w:val="Sinespaciado"/>
        <w:jc w:val="both"/>
      </w:pPr>
    </w:p>
    <w:p w14:paraId="2B269B6F" w14:textId="5AEA32AD" w:rsidR="00877997" w:rsidRPr="00835574" w:rsidRDefault="00877997" w:rsidP="00421E8E">
      <w:pPr>
        <w:pStyle w:val="Sinespaciado"/>
        <w:jc w:val="both"/>
      </w:pPr>
      <w:r w:rsidRPr="00835574">
        <w:t xml:space="preserve">Para Alemania, la locomotora de la zona euro, se estima una contracción de 0.7 por ciento con respecto al año 2021, pues se espera un crecimiento para el año 2022 del 2.1 por ciento y para 2023 un crecimiento de 2.7 por ciento. Es importante </w:t>
      </w:r>
      <w:r w:rsidR="00C83BF9" w:rsidRPr="00835574">
        <w:t>destacar</w:t>
      </w:r>
      <w:r w:rsidRPr="00835574">
        <w:t xml:space="preserve"> que dichas proyecciones aún no consideran el impacto del endurecimiento de la</w:t>
      </w:r>
      <w:r w:rsidR="00C83BF9" w:rsidRPr="00835574">
        <w:t>s</w:t>
      </w:r>
      <w:r w:rsidRPr="00835574">
        <w:t xml:space="preserve"> política</w:t>
      </w:r>
      <w:r w:rsidR="00C83BF9" w:rsidRPr="00835574">
        <w:t>s</w:t>
      </w:r>
      <w:r w:rsidRPr="00835574">
        <w:t xml:space="preserve"> monetaria</w:t>
      </w:r>
      <w:r w:rsidR="00C83BF9" w:rsidRPr="00835574">
        <w:t>s</w:t>
      </w:r>
      <w:r w:rsidRPr="00835574">
        <w:t xml:space="preserve"> del Banco Central Europeo (BCE) y de la Reserva Federal (FED) de los Estados Unidos de Norteamérica (EE. UU.) y, de cómo ésta</w:t>
      </w:r>
      <w:r w:rsidR="00C83BF9" w:rsidRPr="00835574">
        <w:t>s</w:t>
      </w:r>
      <w:r w:rsidRPr="00835574">
        <w:t xml:space="preserve"> ralentizará</w:t>
      </w:r>
      <w:r w:rsidR="00C83BF9" w:rsidRPr="00835574">
        <w:t>n</w:t>
      </w:r>
      <w:r w:rsidRPr="00835574">
        <w:t xml:space="preserve"> aún más a las economías europeas.</w:t>
      </w:r>
    </w:p>
    <w:p w14:paraId="0325BF2E" w14:textId="77777777" w:rsidR="00877997" w:rsidRPr="00835574" w:rsidRDefault="00877997" w:rsidP="00421E8E">
      <w:pPr>
        <w:pStyle w:val="Sinespaciado"/>
        <w:jc w:val="both"/>
      </w:pPr>
    </w:p>
    <w:p w14:paraId="0EBCE5C3" w14:textId="77777777" w:rsidR="002B410B" w:rsidRDefault="00877997" w:rsidP="00421E8E">
      <w:pPr>
        <w:pStyle w:val="Sinespaciado"/>
        <w:jc w:val="both"/>
      </w:pPr>
      <w:r w:rsidRPr="00835574">
        <w:t xml:space="preserve">Para el caso de los </w:t>
      </w:r>
      <w:r w:rsidR="000731BA" w:rsidRPr="00835574">
        <w:t>EE</w:t>
      </w:r>
      <w:r w:rsidRPr="00835574">
        <w:t>.</w:t>
      </w:r>
      <w:r w:rsidR="000731BA" w:rsidRPr="00835574">
        <w:t>UU</w:t>
      </w:r>
      <w:r w:rsidRPr="00835574">
        <w:t>. las presiones inflacionarias (inflación del 9.1 por ciento), al igual que en la zona euro, han minado el poder adquisitivo de las familias</w:t>
      </w:r>
      <w:r w:rsidR="00C83BF9" w:rsidRPr="00835574">
        <w:t>;</w:t>
      </w:r>
      <w:r w:rsidRPr="00835574">
        <w:t xml:space="preserve"> el endurecimiento de la política monetaria (la más agresiva en los últimos 50 años) ha contraído la demanda interna y ha frenado la inversión. Ante tal panorama, el FMI estima un crecimiento de 3.7 por ciento, 2 por ciento menor a lo registrado en 2021 y del 2.3 por ciento para 2023. Sin embargo, la economía de Estados Unidos se contrajo nuevamente en el segundo trimestre del 2022, esto en medio del agresivo endurecimiento de la política monetaria de la Reserva Federal para combatir la alta inflación, lo cual incrementa los temores en los mercados financieros al estar ya la economía norteamericana en una recesión técnica después de una segunda caída trimestral consecutiva del Producto Interno Bruto (PIB)</w:t>
      </w:r>
      <w:r w:rsidR="00591220" w:rsidRPr="00835574">
        <w:t xml:space="preserve"> de ese país</w:t>
      </w:r>
      <w:r w:rsidRPr="00835574">
        <w:t>.</w:t>
      </w:r>
    </w:p>
    <w:p w14:paraId="488EF9FB" w14:textId="511ADDD4" w:rsidR="00877997" w:rsidRPr="00835574" w:rsidRDefault="00877997" w:rsidP="00421E8E">
      <w:pPr>
        <w:pStyle w:val="Sinespaciado"/>
        <w:jc w:val="both"/>
      </w:pPr>
      <w:r w:rsidRPr="00835574">
        <w:lastRenderedPageBreak/>
        <w:t>Para los años 2022 y 2023, se pronostica en América Latina y el Caribe un crecimiento del 2.5 por ciento, 4.3 por ciento menor a lo registrado en 2021, siendo Brasil y México, según el FMI, los países que presentarán un mejor desempeño al crecer en 2022, un 0.8 y 2.0 por ciento respectivamente, con perspectivas de crecimiento del 1.4 y 2.5 para 2023.</w:t>
      </w:r>
    </w:p>
    <w:p w14:paraId="6FD64E87" w14:textId="77777777" w:rsidR="000A5247" w:rsidRPr="00835574" w:rsidRDefault="000A5247" w:rsidP="00421E8E">
      <w:pPr>
        <w:pStyle w:val="Sinespaciado"/>
        <w:jc w:val="both"/>
        <w:rPr>
          <w:b/>
          <w:bCs/>
        </w:rPr>
      </w:pPr>
    </w:p>
    <w:p w14:paraId="479F0E4A" w14:textId="545C3126" w:rsidR="00877997" w:rsidRPr="00835574" w:rsidRDefault="00877997" w:rsidP="00421E8E">
      <w:pPr>
        <w:pStyle w:val="Sinespaciado"/>
        <w:jc w:val="both"/>
        <w:rPr>
          <w:b/>
          <w:bCs/>
        </w:rPr>
      </w:pPr>
      <w:r w:rsidRPr="00835574">
        <w:rPr>
          <w:b/>
          <w:bCs/>
        </w:rPr>
        <w:t>Entorno Nacional</w:t>
      </w:r>
    </w:p>
    <w:p w14:paraId="3BF414E2" w14:textId="77777777" w:rsidR="00877997" w:rsidRPr="00835574" w:rsidRDefault="00877997" w:rsidP="00421E8E">
      <w:pPr>
        <w:pStyle w:val="Sinespaciado"/>
        <w:jc w:val="both"/>
        <w:rPr>
          <w:i/>
          <w:iCs/>
        </w:rPr>
      </w:pPr>
    </w:p>
    <w:p w14:paraId="1DD20070" w14:textId="77777777" w:rsidR="00877997" w:rsidRPr="00835574" w:rsidRDefault="00877997" w:rsidP="00421E8E">
      <w:pPr>
        <w:pStyle w:val="Sinespaciado"/>
        <w:jc w:val="both"/>
        <w:rPr>
          <w:i/>
          <w:iCs/>
        </w:rPr>
      </w:pPr>
      <w:r w:rsidRPr="00835574">
        <w:rPr>
          <w:i/>
          <w:iCs/>
        </w:rPr>
        <w:t>Producto Interno Bruto (PIB)</w:t>
      </w:r>
    </w:p>
    <w:p w14:paraId="1C679677" w14:textId="77777777" w:rsidR="00877997" w:rsidRPr="00835574" w:rsidRDefault="00877997" w:rsidP="00421E8E">
      <w:pPr>
        <w:pStyle w:val="Sinespaciado"/>
        <w:jc w:val="both"/>
        <w:rPr>
          <w:i/>
          <w:iCs/>
        </w:rPr>
      </w:pPr>
    </w:p>
    <w:p w14:paraId="31A13B79" w14:textId="498970D7" w:rsidR="00877997" w:rsidRDefault="00877997" w:rsidP="00421E8E">
      <w:pPr>
        <w:pStyle w:val="Sinespaciado"/>
        <w:jc w:val="both"/>
      </w:pPr>
      <w:r w:rsidRPr="00835574">
        <w:t xml:space="preserve">En el documento relativo al cumplimiento de las disposiciones contenidas en el artículo 42, fracción I, de la Ley Federal de Presupuesto y Responsabilidad Hacendaria (Criterios 2023), se estima que la economía crecerá 3.4 por ciento para el cierre del año 2022 y se proyecta un crecimiento del 3.5 por ciento para el año 2023, en cambio, la Encuesta sobre las Expectativas de los Especialistas en Economía del Sector Privado: </w:t>
      </w:r>
      <w:r w:rsidR="00C57335" w:rsidRPr="00835574">
        <w:t xml:space="preserve">Octubre </w:t>
      </w:r>
      <w:r w:rsidRPr="00835574">
        <w:t>de 2022</w:t>
      </w:r>
      <w:r w:rsidR="000A25C5" w:rsidRPr="00835574">
        <w:t>,</w:t>
      </w:r>
      <w:r w:rsidRPr="00835574">
        <w:t xml:space="preserve"> realizada por el Banco de México (Banxico)</w:t>
      </w:r>
      <w:r w:rsidRPr="00835574">
        <w:rPr>
          <w:rStyle w:val="Refdenotaalpie"/>
          <w:rFonts w:ascii="Arial" w:hAnsi="Arial" w:cs="Arial"/>
        </w:rPr>
        <w:footnoteReference w:id="2"/>
      </w:r>
      <w:r w:rsidRPr="00835574">
        <w:t xml:space="preserve">, consensan un crecimiento del </w:t>
      </w:r>
      <w:r w:rsidR="00C57335" w:rsidRPr="00835574">
        <w:t>2.0</w:t>
      </w:r>
      <w:r w:rsidRPr="00835574">
        <w:t xml:space="preserve"> por ciento para el año 2022 y un 1.</w:t>
      </w:r>
      <w:r w:rsidR="00C57335" w:rsidRPr="00835574">
        <w:t>20</w:t>
      </w:r>
      <w:r w:rsidRPr="00835574">
        <w:t xml:space="preserve"> por ciento para el año 2023. Por su parte el FMI prevé un crecimiento de 2.0 por ciento para el año 2022 y </w:t>
      </w:r>
      <w:r w:rsidR="00591220" w:rsidRPr="00835574">
        <w:t>del</w:t>
      </w:r>
      <w:r w:rsidRPr="00835574">
        <w:t xml:space="preserve"> 2.5 por ciento para el año 2023.</w:t>
      </w:r>
    </w:p>
    <w:p w14:paraId="38BACC96" w14:textId="77777777" w:rsidR="002B410B" w:rsidRPr="00835574" w:rsidRDefault="002B410B" w:rsidP="00421E8E">
      <w:pPr>
        <w:pStyle w:val="Sinespaciado"/>
        <w:jc w:val="both"/>
      </w:pPr>
    </w:p>
    <w:p w14:paraId="39D76462" w14:textId="14C63193" w:rsidR="00F854AC" w:rsidRPr="00835574" w:rsidRDefault="00877997" w:rsidP="00421E8E">
      <w:pPr>
        <w:pStyle w:val="Sinespaciado"/>
        <w:jc w:val="both"/>
      </w:pPr>
      <w:r w:rsidRPr="00835574">
        <w:t>Es importante precisar que en lo que va del año (</w:t>
      </w:r>
      <w:r w:rsidR="00FC1A4D" w:rsidRPr="00835574">
        <w:t>l</w:t>
      </w:r>
      <w:r w:rsidRPr="00835574">
        <w:t>a</w:t>
      </w:r>
      <w:r w:rsidR="00FC1A4D" w:rsidRPr="00835574">
        <w:t xml:space="preserve"> </w:t>
      </w:r>
      <w:r w:rsidRPr="00835574">
        <w:t>tasa anual y con series desestacionalizadas) el PIB registró para el primer trimestre del año 2022, un alza de 1.</w:t>
      </w:r>
      <w:r w:rsidR="00C57335" w:rsidRPr="00835574">
        <w:t>9</w:t>
      </w:r>
      <w:r w:rsidRPr="00835574">
        <w:t xml:space="preserve"> por ciento en términos </w:t>
      </w:r>
      <w:r w:rsidR="00C57335" w:rsidRPr="00835574">
        <w:t>reales</w:t>
      </w:r>
      <w:r w:rsidR="00C57335" w:rsidRPr="00835574">
        <w:rPr>
          <w:rStyle w:val="Refdenotaalpie"/>
        </w:rPr>
        <w:footnoteReference w:id="3"/>
      </w:r>
      <w:r w:rsidR="00C57335" w:rsidRPr="00835574">
        <w:t xml:space="preserve">.  </w:t>
      </w:r>
    </w:p>
    <w:p w14:paraId="11736F98" w14:textId="6D81678B" w:rsidR="00877997" w:rsidRPr="00835574" w:rsidRDefault="00877997" w:rsidP="00421E8E">
      <w:pPr>
        <w:pStyle w:val="Sinespaciado"/>
        <w:jc w:val="both"/>
      </w:pPr>
      <w:r w:rsidRPr="00835574">
        <w:t xml:space="preserve">Por grandes grupos de actividades económicas y con series ajustadas por estacionalidad, el comportamiento fue el siguiente: el PIB de las actividades primarias avanzó </w:t>
      </w:r>
      <w:r w:rsidR="00C57335" w:rsidRPr="00835574">
        <w:t>1.7</w:t>
      </w:r>
      <w:r w:rsidRPr="00835574">
        <w:t xml:space="preserve"> por ciento, el de las secundarias 3.</w:t>
      </w:r>
      <w:r w:rsidR="00C57335" w:rsidRPr="00835574">
        <w:t>2</w:t>
      </w:r>
      <w:r w:rsidRPr="00835574">
        <w:t xml:space="preserve"> por ciento y el de las actividades terciarias ascendió 0.9 por ciento.</w:t>
      </w:r>
    </w:p>
    <w:p w14:paraId="148CDD82" w14:textId="77777777" w:rsidR="00877997" w:rsidRPr="00835574" w:rsidRDefault="00877997" w:rsidP="00421E8E">
      <w:pPr>
        <w:pStyle w:val="Sinespaciado"/>
        <w:jc w:val="both"/>
      </w:pPr>
    </w:p>
    <w:p w14:paraId="7B1A7C0B" w14:textId="0618BDD5" w:rsidR="00877997" w:rsidRPr="00835574" w:rsidRDefault="00877997" w:rsidP="00421E8E">
      <w:pPr>
        <w:pStyle w:val="Sinespaciado"/>
        <w:jc w:val="both"/>
      </w:pPr>
      <w:r w:rsidRPr="00835574">
        <w:t>Los datos de actividad económica de principios de 2022 reflejan, a pesar de las condiciones económicas mundiales, un buen desempeño en la dinámica del mercado interno. Esto se explica principalmente por la evolución favorable de las actividades primarias, en tanto la producción industrial se vio afectada por la desaceleración de la demanda externa y el aumento en los precios del petróleo.</w:t>
      </w:r>
    </w:p>
    <w:p w14:paraId="4215BE90" w14:textId="77777777" w:rsidR="00877997" w:rsidRPr="00835574" w:rsidRDefault="00877997" w:rsidP="00421E8E">
      <w:pPr>
        <w:pStyle w:val="Sinespaciado"/>
        <w:jc w:val="both"/>
      </w:pPr>
    </w:p>
    <w:p w14:paraId="573C6ADC" w14:textId="77777777" w:rsidR="00877997" w:rsidRPr="00835574" w:rsidRDefault="00877997" w:rsidP="00421E8E">
      <w:pPr>
        <w:pStyle w:val="Sinespaciado"/>
        <w:jc w:val="both"/>
        <w:rPr>
          <w:i/>
          <w:iCs/>
        </w:rPr>
      </w:pPr>
      <w:r w:rsidRPr="00835574">
        <w:rPr>
          <w:i/>
          <w:iCs/>
        </w:rPr>
        <w:t>Empleo</w:t>
      </w:r>
    </w:p>
    <w:p w14:paraId="43DC5DE0" w14:textId="77777777" w:rsidR="00877997" w:rsidRPr="00835574" w:rsidRDefault="00877997" w:rsidP="00421E8E">
      <w:pPr>
        <w:pStyle w:val="Sinespaciado"/>
        <w:jc w:val="both"/>
      </w:pPr>
    </w:p>
    <w:p w14:paraId="780A400D" w14:textId="0003F293" w:rsidR="00877997" w:rsidRPr="00835574" w:rsidRDefault="00877997" w:rsidP="00421E8E">
      <w:pPr>
        <w:pStyle w:val="Sinespaciado"/>
        <w:jc w:val="both"/>
      </w:pPr>
      <w:r w:rsidRPr="00835574">
        <w:t>En el Informe al Ejecutivo Federal y al Congreso de la Unión sobre la Situación Financiera y los Riesgos del Instituto Mexicano del Seguro Social (IMSS) 2021-2022</w:t>
      </w:r>
      <w:r w:rsidRPr="00835574">
        <w:rPr>
          <w:rStyle w:val="Refdenotaalpie"/>
          <w:rFonts w:ascii="Arial" w:hAnsi="Arial" w:cs="Arial"/>
        </w:rPr>
        <w:footnoteReference w:id="4"/>
      </w:r>
      <w:r w:rsidRPr="00835574">
        <w:t xml:space="preserve"> se indica que el empleo formal medido por el número de trabajadores afiliados al IMSS, cerró en diciembre de 2021 con 846,416 plazas más, equivalente a un aumento anual de 4.3 por ciento con respecto al cierre del 2020. Al 30 </w:t>
      </w:r>
      <w:r w:rsidRPr="00835574">
        <w:lastRenderedPageBreak/>
        <w:t>de septiembre de 2022, se generaron 789,210 plazas adicionales</w:t>
      </w:r>
      <w:r w:rsidRPr="00835574">
        <w:rPr>
          <w:rStyle w:val="Refdenotaalpie"/>
          <w:rFonts w:ascii="Arial" w:hAnsi="Arial" w:cs="Arial"/>
        </w:rPr>
        <w:footnoteReference w:id="5"/>
      </w:r>
      <w:r w:rsidRPr="00835574">
        <w:t xml:space="preserve"> respecto al cierre de 2021, equivalente a un crecimiento de 3.83 por ciento.</w:t>
      </w:r>
    </w:p>
    <w:p w14:paraId="3C481F38" w14:textId="77777777" w:rsidR="00877997" w:rsidRPr="00835574" w:rsidRDefault="00877997" w:rsidP="00421E8E">
      <w:pPr>
        <w:pStyle w:val="Sinespaciado"/>
        <w:jc w:val="both"/>
      </w:pPr>
    </w:p>
    <w:p w14:paraId="35E281C8" w14:textId="159BCB7A" w:rsidR="00877997" w:rsidRPr="00835574" w:rsidRDefault="00877997" w:rsidP="00421E8E">
      <w:pPr>
        <w:pStyle w:val="Sinespaciado"/>
        <w:jc w:val="both"/>
      </w:pPr>
      <w:r w:rsidRPr="00835574">
        <w:t>Para el cierre del 2022 el Banxico consensa una variación anual en el número de trabajadores asegurados en el IMSS equivalente a 610,000 asegurados</w:t>
      </w:r>
      <w:r w:rsidR="00E4784D" w:rsidRPr="00835574">
        <w:t xml:space="preserve">, </w:t>
      </w:r>
      <w:r w:rsidRPr="00835574">
        <w:t>y de 393,000 para 2023.</w:t>
      </w:r>
    </w:p>
    <w:p w14:paraId="4D99B8B6" w14:textId="77777777" w:rsidR="00877997" w:rsidRPr="00835574" w:rsidRDefault="00877997" w:rsidP="00421E8E">
      <w:pPr>
        <w:pStyle w:val="Sinespaciado"/>
        <w:jc w:val="both"/>
      </w:pPr>
    </w:p>
    <w:p w14:paraId="1D4FFCE7" w14:textId="598E9BC7" w:rsidR="00877997" w:rsidRPr="00835574" w:rsidRDefault="00877997" w:rsidP="00421E8E">
      <w:pPr>
        <w:pStyle w:val="Sinespaciado"/>
        <w:jc w:val="both"/>
      </w:pPr>
      <w:r w:rsidRPr="00835574">
        <w:t>Según la Encuesta Nacional de Ocupación y Empleo</w:t>
      </w:r>
      <w:r w:rsidRPr="00835574">
        <w:rPr>
          <w:rStyle w:val="Refdenotaalpie"/>
          <w:rFonts w:ascii="Arial" w:hAnsi="Arial" w:cs="Arial"/>
        </w:rPr>
        <w:footnoteReference w:id="6"/>
      </w:r>
      <w:r w:rsidRPr="00835574">
        <w:t xml:space="preserve"> (primer trimestre del 2022), la tasa de ocupación es del 96 por ciento, de los cuales el 39.9 por ciento se encuentra en situación crítica laboral</w:t>
      </w:r>
      <w:r w:rsidRPr="00835574">
        <w:rPr>
          <w:rStyle w:val="Refdenotaalpie"/>
          <w:rFonts w:ascii="Arial" w:hAnsi="Arial" w:cs="Arial"/>
        </w:rPr>
        <w:footnoteReference w:id="7"/>
      </w:r>
      <w:r w:rsidRPr="00835574">
        <w:t xml:space="preserve">, el 43.6 por ciento de la población ocupada corresponde al sector informal. </w:t>
      </w:r>
    </w:p>
    <w:p w14:paraId="20A5FB24" w14:textId="77777777" w:rsidR="00877997" w:rsidRPr="00835574" w:rsidRDefault="00877997" w:rsidP="00421E8E">
      <w:pPr>
        <w:pStyle w:val="Sinespaciado"/>
        <w:jc w:val="both"/>
      </w:pPr>
    </w:p>
    <w:p w14:paraId="1AA06A06" w14:textId="22CD68FD" w:rsidR="00877997" w:rsidRPr="00835574" w:rsidRDefault="00877997" w:rsidP="00421E8E">
      <w:pPr>
        <w:pStyle w:val="Sinespaciado"/>
        <w:jc w:val="both"/>
      </w:pPr>
      <w:r w:rsidRPr="00835574">
        <w:t xml:space="preserve">Las perspectivas para 2022 en el mercado laboral no son optimistas, derivado de que los daños de la crisis económica causada por la pandemia Covid-19 no han podido ser revertidos en el corto plazo pues, aunque se espera una recuperación del empleo, </w:t>
      </w:r>
      <w:r w:rsidR="006B5D81" w:rsidRPr="00835574">
        <w:t>é</w:t>
      </w:r>
      <w:r w:rsidRPr="00835574">
        <w:t>sta será lenta y estará caracterizada por mayor desigualdad, crecimiento de la pobreza, y menos trabajos dignos.</w:t>
      </w:r>
    </w:p>
    <w:p w14:paraId="171028C5" w14:textId="77777777" w:rsidR="00877997" w:rsidRPr="00835574" w:rsidRDefault="00877997" w:rsidP="00421E8E">
      <w:pPr>
        <w:pStyle w:val="Sinespaciado"/>
        <w:jc w:val="both"/>
      </w:pPr>
    </w:p>
    <w:p w14:paraId="61F8D712" w14:textId="77777777" w:rsidR="00877997" w:rsidRPr="00835574" w:rsidRDefault="00877997" w:rsidP="00421E8E">
      <w:pPr>
        <w:pStyle w:val="Sinespaciado"/>
        <w:jc w:val="both"/>
        <w:rPr>
          <w:i/>
          <w:iCs/>
        </w:rPr>
      </w:pPr>
      <w:r w:rsidRPr="00835574">
        <w:rPr>
          <w:i/>
          <w:iCs/>
        </w:rPr>
        <w:t>Inflación</w:t>
      </w:r>
    </w:p>
    <w:p w14:paraId="225FAEA6" w14:textId="77777777" w:rsidR="00877997" w:rsidRPr="00835574" w:rsidRDefault="00877997" w:rsidP="00421E8E">
      <w:pPr>
        <w:pStyle w:val="Sinespaciado"/>
        <w:jc w:val="both"/>
      </w:pPr>
    </w:p>
    <w:p w14:paraId="4BBBD95D" w14:textId="14E78B8F" w:rsidR="00877997" w:rsidRPr="00835574" w:rsidRDefault="00877997" w:rsidP="00421E8E">
      <w:pPr>
        <w:pStyle w:val="Sinespaciado"/>
        <w:jc w:val="both"/>
      </w:pPr>
      <w:r w:rsidRPr="00835574">
        <w:t xml:space="preserve">En los Criterios </w:t>
      </w:r>
      <w:r w:rsidR="006B5D81" w:rsidRPr="00835574">
        <w:t xml:space="preserve">Generales de Política Económica </w:t>
      </w:r>
      <w:r w:rsidRPr="00835574">
        <w:t>2023</w:t>
      </w:r>
      <w:r w:rsidR="006B5D81" w:rsidRPr="00835574">
        <w:t xml:space="preserve"> (CGPE 2023)</w:t>
      </w:r>
      <w:r w:rsidR="002F4EF8" w:rsidRPr="00835574">
        <w:rPr>
          <w:rStyle w:val="Refdenotaalpie"/>
        </w:rPr>
        <w:footnoteReference w:id="8"/>
      </w:r>
      <w:r w:rsidRPr="00835574">
        <w:t>, el nivel de inflación general anual se estima en 7.7 por ciento al cierre de 2022; en tanto que para 2023 se prevé un nivel de inflación de 3.2 por ciento. Sin embargo, el Banxico, consensa una inflación de 8.</w:t>
      </w:r>
      <w:r w:rsidR="005802D5" w:rsidRPr="00835574">
        <w:t>50</w:t>
      </w:r>
      <w:r w:rsidRPr="00835574">
        <w:t xml:space="preserve"> por ciento para el 2022 y de </w:t>
      </w:r>
      <w:r w:rsidR="005802D5" w:rsidRPr="00835574">
        <w:t>5.09</w:t>
      </w:r>
      <w:r w:rsidRPr="00835574">
        <w:t xml:space="preserve"> por ciento para el 2023. Es importante precisar que las tasas de inflación señaladas en los C</w:t>
      </w:r>
      <w:r w:rsidR="005802D5" w:rsidRPr="00835574">
        <w:t>GPE</w:t>
      </w:r>
      <w:r w:rsidRPr="00835574">
        <w:t xml:space="preserve"> 2023 y por el Banxico, están por debajo de las perspectivas de inflación pronosticadas por el FMI</w:t>
      </w:r>
      <w:r w:rsidRPr="00835574">
        <w:rPr>
          <w:rStyle w:val="Refdenotaalpie"/>
          <w:rFonts w:ascii="Arial" w:hAnsi="Arial" w:cs="Arial"/>
        </w:rPr>
        <w:footnoteReference w:id="9"/>
      </w:r>
      <w:r w:rsidRPr="00835574">
        <w:t xml:space="preserve"> para la región de América Latina y el Caribe, toda vez que dicho Organismo Internacional estima una inflación para la región de</w:t>
      </w:r>
      <w:r w:rsidR="0032593A" w:rsidRPr="00835574">
        <w:t xml:space="preserve"> </w:t>
      </w:r>
      <w:r w:rsidRPr="00835574">
        <w:t xml:space="preserve">12.1 por ciento para el 2022 y de 8.7 por ciento para 2023. </w:t>
      </w:r>
    </w:p>
    <w:p w14:paraId="008EB46F" w14:textId="77777777" w:rsidR="00877997" w:rsidRPr="00835574" w:rsidRDefault="00877997" w:rsidP="00421E8E">
      <w:pPr>
        <w:pStyle w:val="Sinespaciado"/>
        <w:jc w:val="both"/>
      </w:pPr>
    </w:p>
    <w:p w14:paraId="7DACAC29" w14:textId="77777777" w:rsidR="00877997" w:rsidRPr="00835574" w:rsidRDefault="00877997" w:rsidP="00421E8E">
      <w:pPr>
        <w:pStyle w:val="Sinespaciado"/>
        <w:jc w:val="both"/>
        <w:rPr>
          <w:b/>
          <w:bCs/>
        </w:rPr>
      </w:pPr>
      <w:r w:rsidRPr="00835574">
        <w:rPr>
          <w:b/>
          <w:bCs/>
        </w:rPr>
        <w:t>Entorno Estatal</w:t>
      </w:r>
    </w:p>
    <w:p w14:paraId="645596AE" w14:textId="77777777" w:rsidR="00877997" w:rsidRPr="00835574" w:rsidRDefault="00877997" w:rsidP="00421E8E">
      <w:pPr>
        <w:pStyle w:val="Sinespaciado"/>
        <w:jc w:val="both"/>
      </w:pPr>
    </w:p>
    <w:p w14:paraId="2525ABC9" w14:textId="111AE712" w:rsidR="00877997" w:rsidRPr="00835574" w:rsidRDefault="00877997" w:rsidP="00421E8E">
      <w:pPr>
        <w:pStyle w:val="Sinespaciado"/>
        <w:jc w:val="both"/>
      </w:pPr>
      <w:r w:rsidRPr="00835574">
        <w:t>De acuerdo con las cifras publicadas por el Instituto Nacional de Estadística y Geografía (INEGI), la actividad económica en el estado de Oaxaca aporta el 1.46 por ciento de la producción nacional</w:t>
      </w:r>
      <w:r w:rsidRPr="00835574">
        <w:rPr>
          <w:rStyle w:val="Refdenotaalpie"/>
          <w:rFonts w:ascii="Arial" w:hAnsi="Arial" w:cs="Arial"/>
        </w:rPr>
        <w:footnoteReference w:id="10"/>
      </w:r>
      <w:r w:rsidRPr="00835574">
        <w:t>. Este bajo nivel de participación en la producción nacional deriva de que en el Estado aún predominan las actividades económicas de bajo valor agregado, aunado a la falta de transición a actividades dedicadas a la transformación de materias primas que no sean meramente artesanales.</w:t>
      </w:r>
    </w:p>
    <w:p w14:paraId="313C1011" w14:textId="08994280" w:rsidR="00877997" w:rsidRPr="00835574" w:rsidRDefault="00877997" w:rsidP="00421E8E">
      <w:pPr>
        <w:pStyle w:val="Sinespaciado"/>
        <w:jc w:val="both"/>
      </w:pPr>
      <w:r w:rsidRPr="00835574">
        <w:t xml:space="preserve">Sin embargo, de acuerdo al desempeño del Indicador Trimestral de la Actividad Económica Estatal (ITAEE) se estima que la producción estatal en 2021 creció un 6.8 por ciento, lo que representa una </w:t>
      </w:r>
      <w:r w:rsidRPr="00835574">
        <w:lastRenderedPageBreak/>
        <w:t>buena recuperación después de haber ligado dos años de contracción por los efectos económicos derivados de la pandemia del Covid-19; en el primer trimestre de 2022, el mismo indicador registró un crecimiento menos vigoroso del 2.8</w:t>
      </w:r>
      <w:r w:rsidR="00E36DAB" w:rsidRPr="00835574">
        <w:t xml:space="preserve"> </w:t>
      </w:r>
      <w:r w:rsidRPr="00835574">
        <w:t>por ciento</w:t>
      </w:r>
      <w:r w:rsidR="00C94114" w:rsidRPr="00835574">
        <w:rPr>
          <w:rStyle w:val="Refdenotaalpie"/>
        </w:rPr>
        <w:footnoteReference w:id="11"/>
      </w:r>
      <w:r w:rsidR="00C94114" w:rsidRPr="00835574">
        <w:t xml:space="preserve"> </w:t>
      </w:r>
      <w:r w:rsidRPr="00835574">
        <w:t xml:space="preserve"> derivado de los efectos de las crisis geopolíticas, del encarecimiento de la energía, así como de los efectos que tiene a nivel mundial el endurecimiento de la política monetaria de EE.UU.</w:t>
      </w:r>
    </w:p>
    <w:p w14:paraId="6841320B" w14:textId="77777777" w:rsidR="00877997" w:rsidRPr="00835574" w:rsidRDefault="00877997" w:rsidP="00421E8E">
      <w:pPr>
        <w:pStyle w:val="Sinespaciado"/>
        <w:jc w:val="both"/>
        <w:rPr>
          <w:b/>
          <w:bCs/>
        </w:rPr>
      </w:pPr>
    </w:p>
    <w:p w14:paraId="2829AFFB" w14:textId="77777777" w:rsidR="00877997" w:rsidRPr="00835574" w:rsidRDefault="00877997" w:rsidP="00F854AC">
      <w:pPr>
        <w:pStyle w:val="Sinespaciado"/>
        <w:jc w:val="center"/>
        <w:rPr>
          <w:b/>
          <w:bCs/>
        </w:rPr>
      </w:pPr>
      <w:r w:rsidRPr="00835574">
        <w:rPr>
          <w:b/>
          <w:bCs/>
        </w:rPr>
        <w:t>Participación Porcentual por Sector,</w:t>
      </w:r>
    </w:p>
    <w:p w14:paraId="6250FDCF" w14:textId="77777777" w:rsidR="00877997" w:rsidRPr="00835574" w:rsidRDefault="00877997" w:rsidP="00F854AC">
      <w:pPr>
        <w:pStyle w:val="Sinespaciado"/>
        <w:jc w:val="center"/>
        <w:rPr>
          <w:b/>
          <w:bCs/>
        </w:rPr>
      </w:pPr>
      <w:r w:rsidRPr="00835574">
        <w:rPr>
          <w:b/>
          <w:bCs/>
        </w:rPr>
        <w:t>Economía Estatal y Nacional (2020)</w:t>
      </w:r>
    </w:p>
    <w:p w14:paraId="5825CEEE" w14:textId="77777777" w:rsidR="00877997" w:rsidRPr="00835574" w:rsidRDefault="00877997" w:rsidP="00583DDB">
      <w:pPr>
        <w:pStyle w:val="Sinespaciado"/>
        <w:jc w:val="center"/>
      </w:pPr>
      <w:r w:rsidRPr="00835574">
        <w:rPr>
          <w:noProof/>
          <w:lang w:eastAsia="es-MX"/>
        </w:rPr>
        <w:drawing>
          <wp:inline distT="0" distB="0" distL="0" distR="0" wp14:anchorId="6F520963" wp14:editId="23B9E740">
            <wp:extent cx="5616000" cy="4680000"/>
            <wp:effectExtent l="0" t="0" r="3810" b="6350"/>
            <wp:docPr id="6" name="Gráfico 6">
              <a:extLst xmlns:a="http://schemas.openxmlformats.org/drawingml/2006/main">
                <a:ext uri="{FF2B5EF4-FFF2-40B4-BE49-F238E27FC236}">
                  <a16:creationId xmlns:a16="http://schemas.microsoft.com/office/drawing/2014/main" id="{EAF0CCCD-735B-753A-6F44-E60F1146DFFF}"/>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806D68" w14:textId="77777777" w:rsidR="00877997" w:rsidRPr="00835574" w:rsidRDefault="00877997" w:rsidP="00583DDB">
      <w:pPr>
        <w:pStyle w:val="Sinespaciado"/>
        <w:rPr>
          <w:i/>
          <w:iCs/>
          <w:sz w:val="18"/>
          <w:szCs w:val="18"/>
        </w:rPr>
      </w:pPr>
      <w:r w:rsidRPr="00835574">
        <w:rPr>
          <w:i/>
          <w:iCs/>
          <w:sz w:val="18"/>
          <w:szCs w:val="18"/>
        </w:rPr>
        <w:t>Fuente: INEGI. Sistema de Cuentas Nacionales de México.</w:t>
      </w:r>
    </w:p>
    <w:p w14:paraId="4F067789" w14:textId="77777777" w:rsidR="00653C02" w:rsidRPr="00835574" w:rsidRDefault="00653C02" w:rsidP="00421E8E">
      <w:pPr>
        <w:pStyle w:val="Sinespaciado"/>
        <w:jc w:val="both"/>
      </w:pPr>
    </w:p>
    <w:p w14:paraId="75EAC761" w14:textId="77777777" w:rsidR="000C1C46" w:rsidRPr="00835574" w:rsidRDefault="000C1C46">
      <w:pPr>
        <w:rPr>
          <w:b/>
          <w:bCs/>
        </w:rPr>
      </w:pPr>
      <w:r w:rsidRPr="00835574">
        <w:rPr>
          <w:b/>
          <w:bCs/>
        </w:rPr>
        <w:br w:type="page"/>
      </w:r>
    </w:p>
    <w:p w14:paraId="1ADCC674" w14:textId="27F82687" w:rsidR="00877997" w:rsidRPr="00835574" w:rsidRDefault="00877997" w:rsidP="001B2707">
      <w:pPr>
        <w:pStyle w:val="Sinespaciado"/>
        <w:jc w:val="center"/>
        <w:rPr>
          <w:b/>
          <w:bCs/>
        </w:rPr>
      </w:pPr>
      <w:r w:rsidRPr="00835574">
        <w:rPr>
          <w:b/>
          <w:bCs/>
        </w:rPr>
        <w:lastRenderedPageBreak/>
        <w:t>Producto Interno Bruto (2010 – 2020)</w:t>
      </w:r>
    </w:p>
    <w:p w14:paraId="3CC9A0A9" w14:textId="5F2E151B" w:rsidR="00877997" w:rsidRPr="00835574" w:rsidRDefault="00877997" w:rsidP="001B2707">
      <w:pPr>
        <w:pStyle w:val="Sinespaciado"/>
        <w:jc w:val="center"/>
        <w:rPr>
          <w:i/>
          <w:iCs/>
        </w:rPr>
      </w:pPr>
      <w:r w:rsidRPr="00835574">
        <w:rPr>
          <w:i/>
          <w:iCs/>
        </w:rPr>
        <w:t>Millones de pesos a precios de 2013</w:t>
      </w:r>
    </w:p>
    <w:p w14:paraId="1E2537BB" w14:textId="184F9A3E" w:rsidR="00877997" w:rsidRPr="00835574" w:rsidRDefault="00F428A5" w:rsidP="00C24762">
      <w:pPr>
        <w:pStyle w:val="Sinespaciado"/>
        <w:jc w:val="center"/>
      </w:pPr>
      <w:r w:rsidRPr="00835574">
        <w:rPr>
          <w:noProof/>
          <w:lang w:eastAsia="es-MX"/>
        </w:rPr>
        <w:drawing>
          <wp:inline distT="0" distB="0" distL="0" distR="0" wp14:anchorId="40DCED3A" wp14:editId="2B06A538">
            <wp:extent cx="5580000" cy="3168000"/>
            <wp:effectExtent l="0" t="0" r="1905" b="0"/>
            <wp:docPr id="18" name="Gráfico 18">
              <a:extLst xmlns:a="http://schemas.openxmlformats.org/drawingml/2006/main">
                <a:ext uri="{FF2B5EF4-FFF2-40B4-BE49-F238E27FC236}">
                  <a16:creationId xmlns:a16="http://schemas.microsoft.com/office/drawing/2014/main" id="{73F1D48A-32CD-653C-19C1-928DEAF52A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F7EE41" w14:textId="0EFA28E6" w:rsidR="00F428A5" w:rsidRPr="00835574" w:rsidRDefault="00F428A5" w:rsidP="00D64683">
      <w:pPr>
        <w:pStyle w:val="Sinespaciado"/>
        <w:jc w:val="both"/>
        <w:rPr>
          <w:sz w:val="18"/>
          <w:szCs w:val="18"/>
        </w:rPr>
      </w:pPr>
      <w:r w:rsidRPr="00835574">
        <w:rPr>
          <w:sz w:val="18"/>
          <w:szCs w:val="18"/>
        </w:rPr>
        <w:t>Cifras revisadas: r/ A partir de 2019.</w:t>
      </w:r>
    </w:p>
    <w:p w14:paraId="267C0FC7" w14:textId="77777777" w:rsidR="00F428A5" w:rsidRPr="00835574" w:rsidRDefault="00F428A5" w:rsidP="00D64683">
      <w:pPr>
        <w:pStyle w:val="Sinespaciado"/>
        <w:jc w:val="both"/>
        <w:rPr>
          <w:sz w:val="18"/>
          <w:szCs w:val="18"/>
        </w:rPr>
      </w:pPr>
      <w:r w:rsidRPr="00835574">
        <w:rPr>
          <w:sz w:val="18"/>
          <w:szCs w:val="18"/>
        </w:rPr>
        <w:t xml:space="preserve">Cifras preliminares: p/ A partir de 2021. Calculado con base en el </w:t>
      </w:r>
      <w:bookmarkStart w:id="0" w:name="_Hlk110431035"/>
      <w:r w:rsidRPr="00835574">
        <w:rPr>
          <w:sz w:val="18"/>
          <w:szCs w:val="18"/>
        </w:rPr>
        <w:t>Indicador Trimestral de la Actividad Económica Estatal</w:t>
      </w:r>
      <w:bookmarkEnd w:id="0"/>
      <w:r w:rsidRPr="00835574">
        <w:rPr>
          <w:sz w:val="18"/>
          <w:szCs w:val="18"/>
        </w:rPr>
        <w:t>.</w:t>
      </w:r>
    </w:p>
    <w:p w14:paraId="007608CF" w14:textId="77777777" w:rsidR="00F428A5" w:rsidRPr="00835574" w:rsidRDefault="00F428A5" w:rsidP="00D64683">
      <w:pPr>
        <w:pStyle w:val="Sinespaciado"/>
        <w:jc w:val="both"/>
        <w:rPr>
          <w:sz w:val="18"/>
          <w:szCs w:val="18"/>
        </w:rPr>
      </w:pPr>
      <w:r w:rsidRPr="00835574">
        <w:rPr>
          <w:sz w:val="18"/>
          <w:szCs w:val="18"/>
        </w:rPr>
        <w:t>Fuente: INEGI. Sistema de Cuentas Nacionales de México.</w:t>
      </w:r>
    </w:p>
    <w:p w14:paraId="360A0DC8" w14:textId="77777777" w:rsidR="00877997" w:rsidRPr="00835574" w:rsidRDefault="00877997" w:rsidP="00421E8E">
      <w:pPr>
        <w:pStyle w:val="Sinespaciado"/>
        <w:jc w:val="both"/>
      </w:pPr>
    </w:p>
    <w:p w14:paraId="6020E6C6" w14:textId="77777777" w:rsidR="00877997" w:rsidRPr="00835574" w:rsidRDefault="00877997" w:rsidP="00421E8E">
      <w:pPr>
        <w:pStyle w:val="Sinespaciado"/>
        <w:jc w:val="both"/>
        <w:rPr>
          <w:i/>
          <w:iCs/>
        </w:rPr>
      </w:pPr>
      <w:r w:rsidRPr="00835574">
        <w:rPr>
          <w:i/>
          <w:iCs/>
        </w:rPr>
        <w:t>Por tipo de actividad económica</w:t>
      </w:r>
    </w:p>
    <w:p w14:paraId="69422A65" w14:textId="77777777" w:rsidR="00877997" w:rsidRPr="00835574" w:rsidRDefault="00877997" w:rsidP="00421E8E">
      <w:pPr>
        <w:pStyle w:val="Sinespaciado"/>
        <w:jc w:val="both"/>
        <w:rPr>
          <w:i/>
          <w:iCs/>
          <w:sz w:val="16"/>
          <w:szCs w:val="16"/>
        </w:rPr>
      </w:pPr>
    </w:p>
    <w:p w14:paraId="2A61572F" w14:textId="0E12DA5D" w:rsidR="00877997" w:rsidRPr="00835574" w:rsidRDefault="00877997" w:rsidP="00421E8E">
      <w:pPr>
        <w:pStyle w:val="Sinespaciado"/>
        <w:jc w:val="both"/>
      </w:pPr>
      <w:r w:rsidRPr="00835574">
        <w:t>De acuerdo con cifras del ITAEE, al cierre del 2021 las actividades primarias registraron un débil crecimiento del 2 por ciento, las actividades secundarias crecieron un 15.8 por ciento después de una caída de 12.4 por ciento al cierre del 2020, y las actividades terciarias alcanzaron un crecimiento de 4.</w:t>
      </w:r>
      <w:r w:rsidR="00D64683" w:rsidRPr="00835574">
        <w:t>5</w:t>
      </w:r>
      <w:r w:rsidRPr="00835574">
        <w:t xml:space="preserve"> por ciento después de experimentar una caída del 7.3 por ciento al cierre del 2020. Las cifras al </w:t>
      </w:r>
      <w:r w:rsidR="00D64683" w:rsidRPr="00835574">
        <w:t>segundo</w:t>
      </w:r>
      <w:r w:rsidRPr="00835574">
        <w:t xml:space="preserve"> trimestre del 2022 muestran que las actividades primarias presentan una caída de </w:t>
      </w:r>
      <w:r w:rsidR="00D64683" w:rsidRPr="00835574">
        <w:t>2.2</w:t>
      </w:r>
      <w:r w:rsidRPr="00835574">
        <w:t xml:space="preserve"> por ciento, contrario al comportamiento lateral que ha tenido la economía nacional</w:t>
      </w:r>
      <w:r w:rsidRPr="00835574">
        <w:rPr>
          <w:rStyle w:val="Refdenotaalpie"/>
          <w:rFonts w:ascii="Arial" w:hAnsi="Arial" w:cs="Arial"/>
        </w:rPr>
        <w:footnoteReference w:id="12"/>
      </w:r>
      <w:r w:rsidRPr="00835574">
        <w:t xml:space="preserve">. En contraste, las actividades secundarias y terciarias pierden vigor al crecer </w:t>
      </w:r>
      <w:r w:rsidR="00642903" w:rsidRPr="00835574">
        <w:t>2.7</w:t>
      </w:r>
      <w:r w:rsidRPr="00835574">
        <w:t xml:space="preserve"> y </w:t>
      </w:r>
      <w:r w:rsidR="00642903" w:rsidRPr="00835574">
        <w:t>3.1</w:t>
      </w:r>
      <w:r w:rsidRPr="00835574">
        <w:t xml:space="preserve"> por ciento respectivamente.</w:t>
      </w:r>
    </w:p>
    <w:p w14:paraId="735A6E87" w14:textId="50CFEE3C" w:rsidR="00877997" w:rsidRPr="00835574" w:rsidRDefault="00877997" w:rsidP="00421E8E">
      <w:pPr>
        <w:pStyle w:val="Sinespaciado"/>
        <w:jc w:val="both"/>
      </w:pPr>
    </w:p>
    <w:p w14:paraId="6F4F23AE" w14:textId="41E4393D" w:rsidR="00877997" w:rsidRPr="00835574" w:rsidRDefault="00877997" w:rsidP="00421E8E">
      <w:pPr>
        <w:pStyle w:val="Sinespaciado"/>
        <w:jc w:val="both"/>
      </w:pPr>
    </w:p>
    <w:p w14:paraId="4A18C71E" w14:textId="63227E50" w:rsidR="00877997" w:rsidRPr="00835574" w:rsidRDefault="00F428A5" w:rsidP="00583DDB">
      <w:pPr>
        <w:pStyle w:val="Sinespaciado"/>
        <w:jc w:val="center"/>
      </w:pPr>
      <w:r w:rsidRPr="00835574">
        <w:rPr>
          <w:noProof/>
          <w:lang w:eastAsia="es-MX"/>
        </w:rPr>
        <w:lastRenderedPageBreak/>
        <w:drawing>
          <wp:inline distT="0" distB="0" distL="0" distR="0" wp14:anchorId="4AE3CF73" wp14:editId="77016E91">
            <wp:extent cx="5612130" cy="1750833"/>
            <wp:effectExtent l="0" t="0" r="7620" b="1905"/>
            <wp:docPr id="10" name="Gráfico 10">
              <a:extLst xmlns:a="http://schemas.openxmlformats.org/drawingml/2006/main">
                <a:ext uri="{FF2B5EF4-FFF2-40B4-BE49-F238E27FC236}">
                  <a16:creationId xmlns:a16="http://schemas.microsoft.com/office/drawing/2014/main" id="{A0B2A131-8FE1-B70D-F1CD-CCEFEEBC57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54B960" w14:textId="2F14D13D" w:rsidR="00F428A5" w:rsidRPr="00835574" w:rsidRDefault="00F428A5" w:rsidP="00421E8E">
      <w:pPr>
        <w:pStyle w:val="Sinespaciado"/>
        <w:jc w:val="both"/>
      </w:pPr>
    </w:p>
    <w:p w14:paraId="4CABE860" w14:textId="7C0957DD" w:rsidR="00F428A5" w:rsidRPr="00835574" w:rsidRDefault="00F428A5" w:rsidP="00583DDB">
      <w:pPr>
        <w:pStyle w:val="Sinespaciado"/>
        <w:jc w:val="center"/>
      </w:pPr>
      <w:r w:rsidRPr="00835574">
        <w:rPr>
          <w:noProof/>
          <w:lang w:eastAsia="es-MX"/>
        </w:rPr>
        <w:drawing>
          <wp:inline distT="0" distB="0" distL="0" distR="0" wp14:anchorId="36AE95B4" wp14:editId="65548865">
            <wp:extent cx="5612130" cy="1646730"/>
            <wp:effectExtent l="0" t="0" r="7620" b="0"/>
            <wp:docPr id="11" name="Gráfico 11">
              <a:extLst xmlns:a="http://schemas.openxmlformats.org/drawingml/2006/main">
                <a:ext uri="{FF2B5EF4-FFF2-40B4-BE49-F238E27FC236}">
                  <a16:creationId xmlns:a16="http://schemas.microsoft.com/office/drawing/2014/main" id="{77D41C0F-9A33-258A-4376-3C690FA7F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7CA58F" w14:textId="01E82490" w:rsidR="00F428A5" w:rsidRPr="00835574" w:rsidRDefault="00F428A5" w:rsidP="00583DDB">
      <w:pPr>
        <w:pStyle w:val="Sinespaciado"/>
        <w:jc w:val="center"/>
      </w:pPr>
      <w:r w:rsidRPr="00835574">
        <w:rPr>
          <w:noProof/>
          <w:lang w:eastAsia="es-MX"/>
        </w:rPr>
        <w:drawing>
          <wp:inline distT="0" distB="0" distL="0" distR="0" wp14:anchorId="41CF51F9" wp14:editId="731480A3">
            <wp:extent cx="5612130" cy="2214821"/>
            <wp:effectExtent l="0" t="0" r="7620" b="0"/>
            <wp:docPr id="12" name="Gráfico 12">
              <a:extLst xmlns:a="http://schemas.openxmlformats.org/drawingml/2006/main">
                <a:ext uri="{FF2B5EF4-FFF2-40B4-BE49-F238E27FC236}">
                  <a16:creationId xmlns:a16="http://schemas.microsoft.com/office/drawing/2014/main" id="{370928CE-7FA4-B231-9670-0B6EC933CA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26ECC1" w14:textId="77777777" w:rsidR="00F428A5" w:rsidRPr="00835574" w:rsidRDefault="00F428A5" w:rsidP="00F428A5">
      <w:pPr>
        <w:pStyle w:val="Sinespaciado"/>
        <w:jc w:val="both"/>
        <w:rPr>
          <w:sz w:val="18"/>
          <w:szCs w:val="18"/>
        </w:rPr>
      </w:pPr>
      <w:r w:rsidRPr="00835574">
        <w:rPr>
          <w:sz w:val="18"/>
          <w:szCs w:val="18"/>
        </w:rPr>
        <w:t>Nota: Para 2022 se utilizó el dato del segundo trimestre de 2022.</w:t>
      </w:r>
    </w:p>
    <w:p w14:paraId="095592AA" w14:textId="77777777" w:rsidR="00F428A5" w:rsidRPr="00835574" w:rsidRDefault="00F428A5" w:rsidP="00F428A5">
      <w:pPr>
        <w:pStyle w:val="Sinespaciado"/>
        <w:jc w:val="both"/>
        <w:rPr>
          <w:sz w:val="18"/>
          <w:szCs w:val="18"/>
        </w:rPr>
      </w:pPr>
      <w:r w:rsidRPr="00835574">
        <w:rPr>
          <w:sz w:val="18"/>
          <w:szCs w:val="18"/>
        </w:rPr>
        <w:t>Cifras revisadas: A partir de 2019.</w:t>
      </w:r>
    </w:p>
    <w:p w14:paraId="32E842A0" w14:textId="77777777" w:rsidR="00F428A5" w:rsidRPr="00835574" w:rsidRDefault="00F428A5" w:rsidP="00F428A5">
      <w:pPr>
        <w:pStyle w:val="Sinespaciado"/>
        <w:jc w:val="both"/>
        <w:rPr>
          <w:sz w:val="18"/>
          <w:szCs w:val="18"/>
        </w:rPr>
      </w:pPr>
      <w:r w:rsidRPr="00835574">
        <w:rPr>
          <w:sz w:val="18"/>
          <w:szCs w:val="18"/>
        </w:rPr>
        <w:t>Cifras preliminares: A partir del segundo trimestre de 2022</w:t>
      </w:r>
    </w:p>
    <w:p w14:paraId="1350B6D0" w14:textId="77777777" w:rsidR="00F428A5" w:rsidRPr="00835574" w:rsidRDefault="00F428A5" w:rsidP="00F428A5">
      <w:pPr>
        <w:pStyle w:val="Sinespaciado"/>
        <w:jc w:val="both"/>
        <w:rPr>
          <w:sz w:val="18"/>
          <w:szCs w:val="18"/>
        </w:rPr>
      </w:pPr>
      <w:r w:rsidRPr="00835574">
        <w:rPr>
          <w:sz w:val="18"/>
          <w:szCs w:val="18"/>
        </w:rPr>
        <w:t>Fuente: INEGI. Sistema de Cuentas Nacionales de México. Producto Interno Bruto por Entidad Federativa</w:t>
      </w:r>
    </w:p>
    <w:p w14:paraId="3A0B4BF5" w14:textId="77777777" w:rsidR="002B410B" w:rsidRDefault="002B410B" w:rsidP="002B410B">
      <w:pPr>
        <w:spacing w:after="0"/>
        <w:rPr>
          <w:i/>
          <w:iCs/>
        </w:rPr>
      </w:pPr>
    </w:p>
    <w:p w14:paraId="5B1ED5D7" w14:textId="52F91E46" w:rsidR="00877997" w:rsidRPr="00835574" w:rsidRDefault="00877997" w:rsidP="002B410B">
      <w:pPr>
        <w:spacing w:after="0"/>
        <w:rPr>
          <w:i/>
          <w:iCs/>
        </w:rPr>
      </w:pPr>
      <w:r w:rsidRPr="00835574">
        <w:rPr>
          <w:i/>
          <w:iCs/>
        </w:rPr>
        <w:t>Mercado laboral estatal</w:t>
      </w:r>
    </w:p>
    <w:p w14:paraId="61E472B6" w14:textId="77777777" w:rsidR="00E36FC3" w:rsidRPr="00835574" w:rsidRDefault="00E36FC3" w:rsidP="00421E8E">
      <w:pPr>
        <w:pStyle w:val="Sinespaciado"/>
        <w:jc w:val="both"/>
        <w:rPr>
          <w:i/>
          <w:iCs/>
        </w:rPr>
      </w:pPr>
    </w:p>
    <w:p w14:paraId="67721E38" w14:textId="05ECA0E0" w:rsidR="00877997" w:rsidRPr="00835574" w:rsidRDefault="00877997" w:rsidP="00421E8E">
      <w:pPr>
        <w:pStyle w:val="Sinespaciado"/>
        <w:jc w:val="both"/>
      </w:pPr>
      <w:r w:rsidRPr="00835574">
        <w:lastRenderedPageBreak/>
        <w:t>Con datos de la Encuesta Nacional de Ocupación y Empleo Nueva Edición (ENOE</w:t>
      </w:r>
      <w:r w:rsidRPr="00835574">
        <w:rPr>
          <w:vertAlign w:val="superscript"/>
        </w:rPr>
        <w:t>N</w:t>
      </w:r>
      <w:r w:rsidRPr="00835574">
        <w:t>)</w:t>
      </w:r>
      <w:r w:rsidRPr="00835574">
        <w:rPr>
          <w:rStyle w:val="Refdenotaalpie"/>
          <w:rFonts w:ascii="Arial" w:hAnsi="Arial" w:cs="Arial"/>
        </w:rPr>
        <w:footnoteReference w:id="13"/>
      </w:r>
      <w:r w:rsidRPr="00835574">
        <w:t xml:space="preserve">, correspondientes al segundo trimestre de 2022, la Población Económicamente Activa (PEA) en el estado de Oaxaca pasó de 1,851,937 a 1,907,900, y representa 60.7 por ciento de la población total </w:t>
      </w:r>
      <w:r w:rsidR="00653C02" w:rsidRPr="00835574">
        <w:t>de la Entidad</w:t>
      </w:r>
      <w:r w:rsidRPr="00835574">
        <w:t>. De este conjunto, 1,880,341 personas se encuentran ocupadas, lo que representa el 98.6 por ciento de PEA.</w:t>
      </w:r>
    </w:p>
    <w:p w14:paraId="1FFE2EAD" w14:textId="77777777" w:rsidR="00877997" w:rsidRPr="00835574" w:rsidRDefault="00877997" w:rsidP="00421E8E">
      <w:pPr>
        <w:pStyle w:val="Sinespaciado"/>
        <w:jc w:val="both"/>
      </w:pPr>
    </w:p>
    <w:p w14:paraId="75515EA3" w14:textId="77777777" w:rsidR="00877997" w:rsidRPr="00835574" w:rsidRDefault="00877997" w:rsidP="00421E8E">
      <w:pPr>
        <w:pStyle w:val="Sinespaciado"/>
        <w:jc w:val="both"/>
      </w:pPr>
      <w:r w:rsidRPr="00835574">
        <w:t>El 29.5 por ciento de la población ocupada de la PEA se encuentra ubicada en el sector primario, el 19.3 por ciento en el sector secundario, de los cuales el 12.2 y 6.8 por ciento del total de la población ocupada se emplea en la industria manufacturera y en la construcción respectivamente, mientras que únicamente el 0.3 por ciento lo hace en la industria extractiva y de la electricidad. El 51 por ciento se ubica en el sector terciario, en donde el comercio absorbe el 16.7 por ciento de la población ocupada, seguido de los servicios sociales y diversos, y los restaurantes con un 14.7 y 8.6 por ciento de la población ocupada, correspondientemente.</w:t>
      </w:r>
    </w:p>
    <w:p w14:paraId="4DA89178" w14:textId="77777777" w:rsidR="00877997" w:rsidRPr="00835574" w:rsidRDefault="00877997" w:rsidP="00421E8E">
      <w:pPr>
        <w:pStyle w:val="Sinespaciado"/>
        <w:jc w:val="both"/>
      </w:pPr>
    </w:p>
    <w:p w14:paraId="56E184FB" w14:textId="68CAF0BF" w:rsidR="00877997" w:rsidRPr="00835574" w:rsidRDefault="00877997" w:rsidP="00421E8E">
      <w:pPr>
        <w:pStyle w:val="Sinespaciado"/>
        <w:jc w:val="both"/>
      </w:pPr>
      <w:r w:rsidRPr="00835574">
        <w:t>Con respecto al total de la población ocupada por posición en la ocupación, la ENOE</w:t>
      </w:r>
      <w:r w:rsidRPr="00835574">
        <w:rPr>
          <w:vertAlign w:val="superscript"/>
        </w:rPr>
        <w:t>N</w:t>
      </w:r>
      <w:r w:rsidRPr="00835574">
        <w:t xml:space="preserve"> señala que el 35.5 por ciento de dicha población se encuentra en el régimen de trabajadores subordinados y remunerados, el 4.7 por ciento son empleadores, el 48.4 por ciento son trabajadores por cuenta propia, y el 11.4 restante pertenecen al régimen de trabajadores no remunerados. Es importante precisar que, del total de población ocupada, el 19.5 por ciento tiene una ocupación formal, en contraste con el 80.5 por ciento de la población que su ocupación es informal, así mismo, en la ENOE</w:t>
      </w:r>
      <w:r w:rsidRPr="00835574">
        <w:rPr>
          <w:vertAlign w:val="superscript"/>
        </w:rPr>
        <w:t>N</w:t>
      </w:r>
      <w:r w:rsidRPr="00835574">
        <w:t xml:space="preserve"> se señala que, en cuanto al porcentaje de la población ocupada, la ocupación formal aumentó 0.2 por ciento con respecto al mismo trimestre del 2021, </w:t>
      </w:r>
      <w:r w:rsidR="000A25C5" w:rsidRPr="00835574">
        <w:t>disminuyendo</w:t>
      </w:r>
      <w:r w:rsidRPr="00835574">
        <w:t xml:space="preserve"> en ese mismo porcentaje la ocupación </w:t>
      </w:r>
      <w:r w:rsidR="000A25C5" w:rsidRPr="00835574">
        <w:t>in</w:t>
      </w:r>
      <w:r w:rsidRPr="00835574">
        <w:t>formal.</w:t>
      </w:r>
    </w:p>
    <w:p w14:paraId="0722D426" w14:textId="77777777" w:rsidR="00653C02" w:rsidRPr="00835574" w:rsidRDefault="00653C02" w:rsidP="00421E8E">
      <w:pPr>
        <w:pStyle w:val="Sinespaciado"/>
        <w:jc w:val="both"/>
      </w:pPr>
    </w:p>
    <w:p w14:paraId="2B5AF94F" w14:textId="6C6822F5" w:rsidR="00877997" w:rsidRPr="00835574" w:rsidRDefault="00877997" w:rsidP="00421E8E">
      <w:pPr>
        <w:pStyle w:val="Sinespaciado"/>
        <w:jc w:val="both"/>
        <w:rPr>
          <w:i/>
          <w:iCs/>
        </w:rPr>
      </w:pPr>
      <w:r w:rsidRPr="00835574">
        <w:rPr>
          <w:i/>
          <w:iCs/>
        </w:rPr>
        <w:t>Percepción de seguridad pública</w:t>
      </w:r>
    </w:p>
    <w:p w14:paraId="7211F7BA" w14:textId="77777777" w:rsidR="00653C02" w:rsidRPr="00835574" w:rsidRDefault="00653C02" w:rsidP="00421E8E">
      <w:pPr>
        <w:pStyle w:val="Sinespaciado"/>
        <w:jc w:val="both"/>
        <w:rPr>
          <w:i/>
          <w:iCs/>
          <w:sz w:val="16"/>
          <w:szCs w:val="16"/>
        </w:rPr>
      </w:pPr>
    </w:p>
    <w:p w14:paraId="18A70EDE" w14:textId="77777777" w:rsidR="00877997" w:rsidRPr="00835574" w:rsidRDefault="00877997" w:rsidP="00421E8E">
      <w:pPr>
        <w:pStyle w:val="Sinespaciado"/>
        <w:jc w:val="both"/>
      </w:pPr>
      <w:r w:rsidRPr="00835574">
        <w:t>De acuerdo a la Encuesta Nacional de Seguridad Pública Urbana (ENSU)</w:t>
      </w:r>
      <w:r w:rsidRPr="00835574">
        <w:rPr>
          <w:rStyle w:val="Refdenotaalpie"/>
          <w:rFonts w:ascii="Arial" w:hAnsi="Arial" w:cs="Arial"/>
        </w:rPr>
        <w:footnoteReference w:id="14"/>
      </w:r>
      <w:r w:rsidRPr="00835574">
        <w:t>, la cual mide la percepción de seguridad de la población de 18 años y más, con corte al mes de junio de 2022, solo el 29.3 por ciento se siente segura en la ciudad de Oaxaca, en contraste, el 70.7 por ciento que tiene una percepción de inseguridad, lo cual representa un incremento del 1.2 por ciento con respecto al primer trimestre del 2022. Entre los lugares más inseguros señalados por la población, destacan los cajeros automáticos localizados en la vía pública, el transporte público y los bancos, con un 90.2, 82.6 y 68.6 por ciento, respectivamente.</w:t>
      </w:r>
    </w:p>
    <w:p w14:paraId="5BF21C95" w14:textId="77777777" w:rsidR="00877997" w:rsidRPr="00835574" w:rsidRDefault="00877997" w:rsidP="00421E8E">
      <w:pPr>
        <w:pStyle w:val="Sinespaciado"/>
        <w:jc w:val="both"/>
        <w:rPr>
          <w:sz w:val="16"/>
          <w:szCs w:val="16"/>
        </w:rPr>
      </w:pPr>
    </w:p>
    <w:p w14:paraId="2A4138BD" w14:textId="635A4182" w:rsidR="00472C84" w:rsidRDefault="00877997" w:rsidP="00421E8E">
      <w:pPr>
        <w:pStyle w:val="Sinespaciado"/>
        <w:jc w:val="both"/>
      </w:pPr>
      <w:r w:rsidRPr="00835574">
        <w:t>Según la ENSU, el 65.7 por ciento de la población considera que la delincuencia seguirá i</w:t>
      </w:r>
      <w:r w:rsidR="00B56269">
        <w:t>ncrementándose</w:t>
      </w:r>
      <w:r w:rsidRPr="00835574">
        <w:t xml:space="preserve"> en los próximos 12 meses.</w:t>
      </w:r>
    </w:p>
    <w:p w14:paraId="1304B1E3" w14:textId="77777777" w:rsidR="002B410B" w:rsidRPr="00835574" w:rsidRDefault="002B410B" w:rsidP="00421E8E">
      <w:pPr>
        <w:pStyle w:val="Sinespaciado"/>
        <w:jc w:val="both"/>
      </w:pPr>
    </w:p>
    <w:p w14:paraId="5DD8F982" w14:textId="20826CAC" w:rsidR="00877997" w:rsidRDefault="00877997" w:rsidP="009157BA">
      <w:pPr>
        <w:pStyle w:val="Sinespaciado"/>
        <w:jc w:val="center"/>
        <w:rPr>
          <w:b/>
          <w:bCs/>
        </w:rPr>
      </w:pPr>
      <w:r w:rsidRPr="00835574">
        <w:rPr>
          <w:b/>
          <w:bCs/>
        </w:rPr>
        <w:t>Atestiguación de incivilidades</w:t>
      </w:r>
      <w:r w:rsidRPr="00835574">
        <w:rPr>
          <w:rStyle w:val="Refdenotaalpie"/>
          <w:rFonts w:ascii="Arial" w:hAnsi="Arial" w:cs="Arial"/>
          <w:b/>
          <w:bCs/>
        </w:rPr>
        <w:footnoteReference w:id="15"/>
      </w:r>
      <w:r w:rsidRPr="00835574">
        <w:rPr>
          <w:b/>
          <w:bCs/>
        </w:rPr>
        <w:t xml:space="preserve"> (junio 2022)</w:t>
      </w:r>
    </w:p>
    <w:p w14:paraId="468FC5B2" w14:textId="77777777" w:rsidR="000B52DD" w:rsidRPr="00835574" w:rsidRDefault="000B52DD" w:rsidP="009157BA">
      <w:pPr>
        <w:pStyle w:val="Sinespaciado"/>
        <w:jc w:val="center"/>
      </w:pPr>
    </w:p>
    <w:p w14:paraId="67E8D4C7" w14:textId="77777777" w:rsidR="00877997" w:rsidRPr="00835574" w:rsidRDefault="00877997" w:rsidP="009157BA">
      <w:pPr>
        <w:pStyle w:val="Sinespaciado"/>
        <w:jc w:val="center"/>
        <w:rPr>
          <w:b/>
          <w:bCs/>
        </w:rPr>
      </w:pPr>
      <w:r w:rsidRPr="00835574">
        <w:rPr>
          <w:b/>
          <w:bCs/>
        </w:rPr>
        <w:t>Porcentaje de la población de 18 años y más</w:t>
      </w:r>
    </w:p>
    <w:p w14:paraId="6A37CD5A" w14:textId="77777777" w:rsidR="00877997" w:rsidRPr="00835574" w:rsidRDefault="00877997" w:rsidP="00421E8E">
      <w:pPr>
        <w:pStyle w:val="Sinespaciado"/>
        <w:jc w:val="both"/>
      </w:pPr>
    </w:p>
    <w:tbl>
      <w:tblPr>
        <w:tblStyle w:val="Tablaconcuadrcula"/>
        <w:tblW w:w="5486" w:type="dxa"/>
        <w:jc w:val="center"/>
        <w:tblLook w:val="04A0" w:firstRow="1" w:lastRow="0" w:firstColumn="1" w:lastColumn="0" w:noHBand="0" w:noVBand="1"/>
      </w:tblPr>
      <w:tblGrid>
        <w:gridCol w:w="3986"/>
        <w:gridCol w:w="1500"/>
      </w:tblGrid>
      <w:tr w:rsidR="00835574" w:rsidRPr="00835574" w14:paraId="35266B6B" w14:textId="77777777" w:rsidTr="003811D8">
        <w:trPr>
          <w:trHeight w:val="331"/>
          <w:jc w:val="center"/>
        </w:trPr>
        <w:tc>
          <w:tcPr>
            <w:tcW w:w="0" w:type="auto"/>
            <w:shd w:val="clear" w:color="auto" w:fill="F2F2F2" w:themeFill="background1" w:themeFillShade="F2"/>
          </w:tcPr>
          <w:p w14:paraId="79CDE795" w14:textId="77777777" w:rsidR="00877997" w:rsidRPr="00835574" w:rsidRDefault="00877997" w:rsidP="00421E8E">
            <w:pPr>
              <w:pStyle w:val="Sinespaciado"/>
              <w:jc w:val="both"/>
            </w:pPr>
            <w:bookmarkStart w:id="1" w:name="_Hlk110854414"/>
            <w:r w:rsidRPr="00835574">
              <w:t>Atestiguación de incivilidades</w:t>
            </w:r>
          </w:p>
        </w:tc>
        <w:tc>
          <w:tcPr>
            <w:tcW w:w="0" w:type="auto"/>
            <w:shd w:val="clear" w:color="auto" w:fill="F2F2F2" w:themeFill="background1" w:themeFillShade="F2"/>
          </w:tcPr>
          <w:p w14:paraId="6B3A42ED" w14:textId="77777777" w:rsidR="00877997" w:rsidRPr="00835574" w:rsidRDefault="00877997" w:rsidP="00421E8E">
            <w:pPr>
              <w:pStyle w:val="Sinespaciado"/>
              <w:jc w:val="both"/>
            </w:pPr>
            <w:r w:rsidRPr="00835574">
              <w:t>Porcentaje</w:t>
            </w:r>
          </w:p>
        </w:tc>
      </w:tr>
      <w:tr w:rsidR="00835574" w:rsidRPr="00835574" w14:paraId="573851E5" w14:textId="77777777" w:rsidTr="003811D8">
        <w:trPr>
          <w:trHeight w:val="331"/>
          <w:jc w:val="center"/>
        </w:trPr>
        <w:tc>
          <w:tcPr>
            <w:tcW w:w="0" w:type="auto"/>
          </w:tcPr>
          <w:p w14:paraId="1DF3C250" w14:textId="77777777" w:rsidR="00877997" w:rsidRPr="00835574" w:rsidRDefault="00877997" w:rsidP="00421E8E">
            <w:pPr>
              <w:pStyle w:val="Sinespaciado"/>
              <w:jc w:val="both"/>
            </w:pPr>
            <w:r w:rsidRPr="00835574">
              <w:t>Consumo de alcohol en las calles</w:t>
            </w:r>
          </w:p>
        </w:tc>
        <w:tc>
          <w:tcPr>
            <w:tcW w:w="0" w:type="auto"/>
            <w:vAlign w:val="center"/>
          </w:tcPr>
          <w:p w14:paraId="2B7233C2" w14:textId="77777777" w:rsidR="00877997" w:rsidRPr="00835574" w:rsidRDefault="00877997" w:rsidP="00A503CB">
            <w:pPr>
              <w:pStyle w:val="Sinespaciado"/>
              <w:jc w:val="center"/>
            </w:pPr>
            <w:r w:rsidRPr="00835574">
              <w:t>71.7</w:t>
            </w:r>
          </w:p>
        </w:tc>
      </w:tr>
      <w:tr w:rsidR="00835574" w:rsidRPr="00835574" w14:paraId="3D2E09C0" w14:textId="77777777" w:rsidTr="003811D8">
        <w:trPr>
          <w:trHeight w:val="331"/>
          <w:jc w:val="center"/>
        </w:trPr>
        <w:tc>
          <w:tcPr>
            <w:tcW w:w="0" w:type="auto"/>
          </w:tcPr>
          <w:p w14:paraId="26AAB5C7" w14:textId="77777777" w:rsidR="00877997" w:rsidRPr="00835574" w:rsidRDefault="00877997" w:rsidP="00421E8E">
            <w:pPr>
              <w:pStyle w:val="Sinespaciado"/>
              <w:jc w:val="both"/>
            </w:pPr>
            <w:r w:rsidRPr="00835574">
              <w:t>Robos o asaltos</w:t>
            </w:r>
          </w:p>
        </w:tc>
        <w:tc>
          <w:tcPr>
            <w:tcW w:w="0" w:type="auto"/>
            <w:vAlign w:val="center"/>
          </w:tcPr>
          <w:p w14:paraId="7E0C693B" w14:textId="77777777" w:rsidR="00877997" w:rsidRPr="00835574" w:rsidRDefault="00877997" w:rsidP="00A503CB">
            <w:pPr>
              <w:pStyle w:val="Sinespaciado"/>
              <w:jc w:val="center"/>
            </w:pPr>
            <w:r w:rsidRPr="00835574">
              <w:t>66.4</w:t>
            </w:r>
          </w:p>
        </w:tc>
      </w:tr>
      <w:tr w:rsidR="00835574" w:rsidRPr="00835574" w14:paraId="71832A0C" w14:textId="77777777" w:rsidTr="003811D8">
        <w:trPr>
          <w:trHeight w:val="331"/>
          <w:jc w:val="center"/>
        </w:trPr>
        <w:tc>
          <w:tcPr>
            <w:tcW w:w="0" w:type="auto"/>
          </w:tcPr>
          <w:p w14:paraId="2A38D468" w14:textId="77777777" w:rsidR="00877997" w:rsidRPr="00835574" w:rsidRDefault="00877997" w:rsidP="00421E8E">
            <w:pPr>
              <w:pStyle w:val="Sinespaciado"/>
              <w:jc w:val="both"/>
            </w:pPr>
            <w:r w:rsidRPr="00835574">
              <w:t>Vandalismo</w:t>
            </w:r>
          </w:p>
        </w:tc>
        <w:tc>
          <w:tcPr>
            <w:tcW w:w="0" w:type="auto"/>
            <w:vAlign w:val="center"/>
          </w:tcPr>
          <w:p w14:paraId="61396276" w14:textId="77777777" w:rsidR="00877997" w:rsidRPr="00835574" w:rsidRDefault="00877997" w:rsidP="00A503CB">
            <w:pPr>
              <w:pStyle w:val="Sinespaciado"/>
              <w:jc w:val="center"/>
            </w:pPr>
            <w:r w:rsidRPr="00835574">
              <w:t>53.0</w:t>
            </w:r>
          </w:p>
        </w:tc>
      </w:tr>
      <w:tr w:rsidR="00835574" w:rsidRPr="00835574" w14:paraId="5B400501" w14:textId="77777777" w:rsidTr="003811D8">
        <w:trPr>
          <w:trHeight w:val="331"/>
          <w:jc w:val="center"/>
        </w:trPr>
        <w:tc>
          <w:tcPr>
            <w:tcW w:w="0" w:type="auto"/>
          </w:tcPr>
          <w:p w14:paraId="4FF0FEC0" w14:textId="77777777" w:rsidR="00877997" w:rsidRPr="00835574" w:rsidRDefault="00877997" w:rsidP="00421E8E">
            <w:pPr>
              <w:pStyle w:val="Sinespaciado"/>
              <w:jc w:val="both"/>
            </w:pPr>
            <w:r w:rsidRPr="00835574">
              <w:t>Venta o consumo de drogas</w:t>
            </w:r>
          </w:p>
        </w:tc>
        <w:tc>
          <w:tcPr>
            <w:tcW w:w="0" w:type="auto"/>
            <w:vAlign w:val="center"/>
          </w:tcPr>
          <w:p w14:paraId="6B69F745" w14:textId="77777777" w:rsidR="00877997" w:rsidRPr="00835574" w:rsidRDefault="00877997" w:rsidP="00A503CB">
            <w:pPr>
              <w:pStyle w:val="Sinespaciado"/>
              <w:jc w:val="center"/>
            </w:pPr>
            <w:r w:rsidRPr="00835574">
              <w:t>23.7</w:t>
            </w:r>
          </w:p>
        </w:tc>
      </w:tr>
      <w:bookmarkEnd w:id="1"/>
      <w:tr w:rsidR="00835574" w:rsidRPr="00835574" w14:paraId="0C5BDED8" w14:textId="77777777" w:rsidTr="003811D8">
        <w:trPr>
          <w:trHeight w:val="331"/>
          <w:jc w:val="center"/>
        </w:trPr>
        <w:tc>
          <w:tcPr>
            <w:tcW w:w="0" w:type="auto"/>
          </w:tcPr>
          <w:p w14:paraId="420CE9C7" w14:textId="77777777" w:rsidR="00877997" w:rsidRPr="00835574" w:rsidRDefault="00877997" w:rsidP="00421E8E">
            <w:pPr>
              <w:pStyle w:val="Sinespaciado"/>
              <w:jc w:val="both"/>
            </w:pPr>
            <w:r w:rsidRPr="00835574">
              <w:t>Disparos frecuentes con armas</w:t>
            </w:r>
          </w:p>
        </w:tc>
        <w:tc>
          <w:tcPr>
            <w:tcW w:w="0" w:type="auto"/>
            <w:vAlign w:val="center"/>
          </w:tcPr>
          <w:p w14:paraId="04715F26" w14:textId="77777777" w:rsidR="00877997" w:rsidRPr="00835574" w:rsidRDefault="00877997" w:rsidP="00A503CB">
            <w:pPr>
              <w:pStyle w:val="Sinespaciado"/>
              <w:jc w:val="center"/>
            </w:pPr>
            <w:r w:rsidRPr="00835574">
              <w:t>28.2</w:t>
            </w:r>
          </w:p>
        </w:tc>
      </w:tr>
      <w:tr w:rsidR="00835574" w:rsidRPr="00835574" w14:paraId="15398B76" w14:textId="77777777" w:rsidTr="003811D8">
        <w:trPr>
          <w:trHeight w:val="318"/>
          <w:jc w:val="center"/>
        </w:trPr>
        <w:tc>
          <w:tcPr>
            <w:tcW w:w="0" w:type="auto"/>
          </w:tcPr>
          <w:p w14:paraId="3B80B420" w14:textId="77777777" w:rsidR="00877997" w:rsidRPr="00835574" w:rsidRDefault="00877997" w:rsidP="00421E8E">
            <w:pPr>
              <w:pStyle w:val="Sinespaciado"/>
              <w:jc w:val="both"/>
            </w:pPr>
            <w:r w:rsidRPr="00835574">
              <w:t>Tomas irregulares de luz</w:t>
            </w:r>
          </w:p>
        </w:tc>
        <w:tc>
          <w:tcPr>
            <w:tcW w:w="0" w:type="auto"/>
            <w:vAlign w:val="center"/>
          </w:tcPr>
          <w:p w14:paraId="538AF72E" w14:textId="77777777" w:rsidR="00877997" w:rsidRPr="00835574" w:rsidRDefault="00877997" w:rsidP="00A503CB">
            <w:pPr>
              <w:pStyle w:val="Sinespaciado"/>
              <w:jc w:val="center"/>
            </w:pPr>
            <w:r w:rsidRPr="00835574">
              <w:t>NS</w:t>
            </w:r>
            <w:r w:rsidRPr="00835574">
              <w:rPr>
                <w:rStyle w:val="Refdenotaalpie"/>
                <w:rFonts w:ascii="Arial" w:hAnsi="Arial" w:cs="Arial"/>
              </w:rPr>
              <w:footnoteReference w:id="16"/>
            </w:r>
          </w:p>
        </w:tc>
      </w:tr>
      <w:tr w:rsidR="00835574" w:rsidRPr="00835574" w14:paraId="06B8A3D2" w14:textId="77777777" w:rsidTr="003811D8">
        <w:trPr>
          <w:trHeight w:val="331"/>
          <w:jc w:val="center"/>
        </w:trPr>
        <w:tc>
          <w:tcPr>
            <w:tcW w:w="0" w:type="auto"/>
          </w:tcPr>
          <w:p w14:paraId="5BA7E8FC" w14:textId="77777777" w:rsidR="00877997" w:rsidRPr="00835574" w:rsidRDefault="00877997" w:rsidP="00421E8E">
            <w:pPr>
              <w:pStyle w:val="Sinespaciado"/>
              <w:jc w:val="both"/>
            </w:pPr>
            <w:r w:rsidRPr="00835574">
              <w:t>Huachicol</w:t>
            </w:r>
          </w:p>
        </w:tc>
        <w:tc>
          <w:tcPr>
            <w:tcW w:w="0" w:type="auto"/>
            <w:vAlign w:val="center"/>
          </w:tcPr>
          <w:p w14:paraId="53A1F173" w14:textId="77777777" w:rsidR="00877997" w:rsidRPr="00835574" w:rsidRDefault="00877997" w:rsidP="00A503CB">
            <w:pPr>
              <w:pStyle w:val="Sinespaciado"/>
              <w:jc w:val="center"/>
            </w:pPr>
            <w:r w:rsidRPr="00835574">
              <w:t>NS</w:t>
            </w:r>
          </w:p>
        </w:tc>
      </w:tr>
    </w:tbl>
    <w:p w14:paraId="77E894FC" w14:textId="77777777" w:rsidR="00653C02" w:rsidRPr="00835574" w:rsidRDefault="00653C02" w:rsidP="00421E8E">
      <w:pPr>
        <w:pStyle w:val="Sinespaciado"/>
        <w:jc w:val="both"/>
        <w:rPr>
          <w:sz w:val="18"/>
          <w:szCs w:val="18"/>
        </w:rPr>
      </w:pPr>
    </w:p>
    <w:p w14:paraId="74715700" w14:textId="46EC7245" w:rsidR="00877997" w:rsidRPr="00835574" w:rsidRDefault="00877997" w:rsidP="009157BA">
      <w:pPr>
        <w:pStyle w:val="Sinespaciado"/>
        <w:ind w:left="1985" w:right="2317"/>
        <w:jc w:val="both"/>
        <w:rPr>
          <w:sz w:val="18"/>
          <w:szCs w:val="18"/>
        </w:rPr>
      </w:pPr>
      <w:r w:rsidRPr="00835574">
        <w:rPr>
          <w:sz w:val="18"/>
          <w:szCs w:val="18"/>
        </w:rPr>
        <w:t>Fuente: INEGI. Encuesta Nacional de Seguridad Pública Urbana (ENSU) junio 2022.</w:t>
      </w:r>
    </w:p>
    <w:p w14:paraId="3B237F2E" w14:textId="77777777" w:rsidR="00877997" w:rsidRPr="00835574" w:rsidRDefault="00877997" w:rsidP="00421E8E">
      <w:pPr>
        <w:pStyle w:val="Sinespaciado"/>
        <w:jc w:val="both"/>
      </w:pPr>
    </w:p>
    <w:p w14:paraId="5BD2DC01" w14:textId="77777777" w:rsidR="00877997" w:rsidRPr="00835574" w:rsidRDefault="00877997" w:rsidP="00421E8E">
      <w:pPr>
        <w:pStyle w:val="Sinespaciado"/>
        <w:jc w:val="both"/>
        <w:rPr>
          <w:i/>
          <w:iCs/>
        </w:rPr>
      </w:pPr>
      <w:r w:rsidRPr="00835574">
        <w:rPr>
          <w:i/>
          <w:iCs/>
        </w:rPr>
        <w:t>Estadísticas de población</w:t>
      </w:r>
    </w:p>
    <w:p w14:paraId="434EF977" w14:textId="77777777" w:rsidR="00877997" w:rsidRPr="00835574" w:rsidRDefault="00877997" w:rsidP="00421E8E">
      <w:pPr>
        <w:pStyle w:val="Sinespaciado"/>
        <w:jc w:val="both"/>
      </w:pPr>
    </w:p>
    <w:p w14:paraId="47C521AC" w14:textId="447FCA4B" w:rsidR="00877997" w:rsidRPr="00835574" w:rsidRDefault="00877997" w:rsidP="00421E8E">
      <w:pPr>
        <w:pStyle w:val="Sinespaciado"/>
        <w:jc w:val="both"/>
      </w:pPr>
      <w:r w:rsidRPr="00835574">
        <w:t>Según el Censo de Población y Vivienda 2020 realizado por el INEGI</w:t>
      </w:r>
      <w:r w:rsidRPr="00835574">
        <w:rPr>
          <w:rStyle w:val="Refdenotaalpie"/>
          <w:rFonts w:ascii="Arial" w:hAnsi="Arial" w:cs="Arial"/>
        </w:rPr>
        <w:footnoteReference w:id="17"/>
      </w:r>
      <w:r w:rsidRPr="00835574">
        <w:t xml:space="preserve">, el </w:t>
      </w:r>
      <w:r w:rsidR="0032166C" w:rsidRPr="00835574">
        <w:t>E</w:t>
      </w:r>
      <w:r w:rsidRPr="00835574">
        <w:t xml:space="preserve">stado </w:t>
      </w:r>
      <w:r w:rsidR="00653C02" w:rsidRPr="00835574">
        <w:t xml:space="preserve">de </w:t>
      </w:r>
      <w:r w:rsidRPr="00835574">
        <w:t xml:space="preserve">Oaxaca ocupa el décimo lugar a nivel nacional por su número de habitantes con una población de 4,132,148 personas, de los cuales el 52.2 por ciento son mujeres y el 47.8 son hombres. La densidad poblacional </w:t>
      </w:r>
      <w:r w:rsidR="00653C02" w:rsidRPr="00835574">
        <w:t>de la Entidad</w:t>
      </w:r>
      <w:r w:rsidRPr="00835574">
        <w:t xml:space="preserve"> asciende a 44 personas por kilómetro cuadrado, así mismo se precisa que el estado de Oaxaca contaba con 10,523 localidades rurales y 200 urbanas.</w:t>
      </w:r>
    </w:p>
    <w:p w14:paraId="70A99C59" w14:textId="77777777" w:rsidR="00877997" w:rsidRPr="00835574" w:rsidRDefault="00877997" w:rsidP="00421E8E">
      <w:pPr>
        <w:pStyle w:val="Sinespaciado"/>
        <w:jc w:val="both"/>
      </w:pPr>
    </w:p>
    <w:p w14:paraId="35DFEC82" w14:textId="77777777" w:rsidR="00877997" w:rsidRPr="00835574" w:rsidRDefault="00877997" w:rsidP="00421E8E">
      <w:pPr>
        <w:pStyle w:val="Sinespaciado"/>
        <w:jc w:val="both"/>
      </w:pPr>
      <w:r w:rsidRPr="00835574">
        <w:t>La esperanza de vida en el estado es de 74.2 años, lo cual resulta menor a la media nacional que es 75.2 años, siendo las mujeres quienes al interior de la Entidad tienen una mayor esperanza de vida, ascendiendo ésta a 76.8 años y en el caso de los hombres a 71.4 años.</w:t>
      </w:r>
    </w:p>
    <w:p w14:paraId="6A80F989" w14:textId="77777777" w:rsidR="00877997" w:rsidRPr="00835574" w:rsidRDefault="00877997" w:rsidP="00421E8E">
      <w:pPr>
        <w:pStyle w:val="Sinespaciado"/>
        <w:jc w:val="both"/>
      </w:pPr>
    </w:p>
    <w:p w14:paraId="70F1F374" w14:textId="77777777" w:rsidR="00877997" w:rsidRPr="00835574" w:rsidRDefault="00877997" w:rsidP="00421E8E">
      <w:pPr>
        <w:pStyle w:val="Sinespaciado"/>
        <w:jc w:val="both"/>
      </w:pPr>
      <w:r w:rsidRPr="00835574">
        <w:t>En Oaxaca hay 1,221,555 personas mayores de 3 años de edad que hablan alguna lengua indígena, el Zapoteco, Mixteco, Mazateco y Mixe son las lenguas indígenas que predominan. Es importante precisar que de cada 100 personas que hablan alguna lengua indígena, 12 no hablan español.</w:t>
      </w:r>
    </w:p>
    <w:p w14:paraId="0D159E8F" w14:textId="77777777" w:rsidR="00877997" w:rsidRPr="00835574" w:rsidRDefault="00877997" w:rsidP="00421E8E">
      <w:pPr>
        <w:pStyle w:val="Sinespaciado"/>
        <w:jc w:val="both"/>
      </w:pPr>
    </w:p>
    <w:p w14:paraId="11707957" w14:textId="77777777" w:rsidR="00877997" w:rsidRPr="00835574" w:rsidRDefault="00877997" w:rsidP="00421E8E">
      <w:pPr>
        <w:pStyle w:val="Sinespaciado"/>
        <w:jc w:val="both"/>
      </w:pPr>
      <w:r w:rsidRPr="00835574">
        <w:t>Para el año 2020, 194,474 personas se autorreconocen como afromexicana o afrodescendiente, de los cuales el 48.7 por ciento son hombres y el 51.3 por ciento son mujeres. La población afromexicana representa el 4.7 por ciento de la población total del Estado.</w:t>
      </w:r>
    </w:p>
    <w:p w14:paraId="22EBCA96" w14:textId="77777777" w:rsidR="00877997" w:rsidRPr="00835574" w:rsidRDefault="00877997" w:rsidP="00421E8E">
      <w:pPr>
        <w:pStyle w:val="Sinespaciado"/>
        <w:jc w:val="both"/>
      </w:pPr>
    </w:p>
    <w:p w14:paraId="4AC79703" w14:textId="77777777" w:rsidR="00877997" w:rsidRPr="00835574" w:rsidRDefault="00877997" w:rsidP="00421E8E">
      <w:pPr>
        <w:pStyle w:val="Sinespaciado"/>
        <w:jc w:val="both"/>
      </w:pPr>
      <w:r w:rsidRPr="00835574">
        <w:t xml:space="preserve">En 2020, en Oaxaca el grado promedio de escolaridad de la población de 15 años y más de edad es de 8.1, lo que equivale a poco más del segundo año de secundaria, un promedio menor a la media </w:t>
      </w:r>
      <w:r w:rsidRPr="00835574">
        <w:lastRenderedPageBreak/>
        <w:t>nacional que es de 9.7, ubicando a la Entidad en el penúltimo lugar en esta categoría. Así mismo, de cada 100 personas de 15 años y más, se destaca que, 10 personas no tienen ningún grado de escolaridad, 57 personas tienen la educación básica terminada, 19 personas finalizaron la educación media superior, y solo 14 personas concluyeron la educación superior.</w:t>
      </w:r>
    </w:p>
    <w:p w14:paraId="65F9229B" w14:textId="77777777" w:rsidR="00877997" w:rsidRPr="00835574" w:rsidRDefault="00877997" w:rsidP="00421E8E">
      <w:pPr>
        <w:pStyle w:val="Sinespaciado"/>
        <w:jc w:val="both"/>
      </w:pPr>
    </w:p>
    <w:p w14:paraId="21B19051" w14:textId="77777777" w:rsidR="00877997" w:rsidRPr="00835574" w:rsidRDefault="00877997" w:rsidP="00421E8E">
      <w:pPr>
        <w:pStyle w:val="Sinespaciado"/>
        <w:jc w:val="both"/>
        <w:rPr>
          <w:i/>
          <w:iCs/>
        </w:rPr>
      </w:pPr>
      <w:r w:rsidRPr="00835574">
        <w:rPr>
          <w:i/>
          <w:iCs/>
        </w:rPr>
        <w:t>Estadísticas de pobreza</w:t>
      </w:r>
    </w:p>
    <w:p w14:paraId="33FA3E81" w14:textId="77777777" w:rsidR="00877997" w:rsidRPr="00835574" w:rsidRDefault="00877997" w:rsidP="00421E8E">
      <w:pPr>
        <w:pStyle w:val="Sinespaciado"/>
        <w:jc w:val="both"/>
      </w:pPr>
    </w:p>
    <w:p w14:paraId="223CB4DB" w14:textId="5341B279" w:rsidR="00877997" w:rsidRPr="00835574" w:rsidRDefault="00877997" w:rsidP="00421E8E">
      <w:pPr>
        <w:pStyle w:val="Sinespaciado"/>
        <w:jc w:val="both"/>
      </w:pPr>
      <w:r w:rsidRPr="00835574">
        <w:t>Según el Consejo Nacional de Evaluación de la Política de Desarrollo Social (CONEVAL)</w:t>
      </w:r>
      <w:r w:rsidRPr="00835574">
        <w:rPr>
          <w:rStyle w:val="Refdenotaalpie"/>
          <w:rFonts w:ascii="Arial" w:hAnsi="Arial" w:cs="Arial"/>
        </w:rPr>
        <w:footnoteReference w:id="18"/>
      </w:r>
      <w:r w:rsidRPr="00835574">
        <w:t xml:space="preserve">, en sus estimaciones de pobreza con un enfoque multidimensional a nivel nacional y para cada entidad federativa publicadas en el año 2021, señala que el </w:t>
      </w:r>
      <w:r w:rsidR="0080635F" w:rsidRPr="00835574">
        <w:t>E</w:t>
      </w:r>
      <w:r w:rsidRPr="00835574">
        <w:t xml:space="preserve">stado de Oaxaca disminuyó la población que se encuentra en condiciones de pobreza, pasando de 64.3 por ciento del total de la población en 2018, al 61.7 por ciento para 2020, así mismo la población en condiciones de pobreza extrema pasó de representar el 21.7 por ciento en 2018 a representar el </w:t>
      </w:r>
      <w:r w:rsidRPr="00CA4251">
        <w:t>20.6%</w:t>
      </w:r>
      <w:r w:rsidR="00CA4251" w:rsidRPr="00CA4251">
        <w:t xml:space="preserve"> para el 2020</w:t>
      </w:r>
      <w:r w:rsidRPr="00CA4251">
        <w:t xml:space="preserve"> del total</w:t>
      </w:r>
      <w:r w:rsidRPr="00835574">
        <w:t xml:space="preserve"> de la población oaxaqueña.</w:t>
      </w:r>
    </w:p>
    <w:p w14:paraId="0DF2EECF" w14:textId="77777777" w:rsidR="00877997" w:rsidRPr="00835574" w:rsidRDefault="00877997" w:rsidP="00421E8E">
      <w:pPr>
        <w:pStyle w:val="Sinespaciado"/>
        <w:jc w:val="both"/>
      </w:pPr>
    </w:p>
    <w:p w14:paraId="3BC025FC" w14:textId="77777777" w:rsidR="00877997" w:rsidRPr="00835574" w:rsidRDefault="00877997" w:rsidP="00421E8E">
      <w:pPr>
        <w:pStyle w:val="Sinespaciado"/>
        <w:jc w:val="both"/>
      </w:pPr>
      <w:r w:rsidRPr="00835574">
        <w:t>La población en condiciones de vulnerabilidad por carencias sociales pasó de 23.4 por ciento en 2018 a 25.3 por ciento en 2020, sin embargo, es importante precisar que dicho incremento se debe a que hubo un retroceso significativo de la población para acceder a los servicios de salud.</w:t>
      </w:r>
    </w:p>
    <w:p w14:paraId="557E0385" w14:textId="77777777" w:rsidR="00877997" w:rsidRPr="00835574" w:rsidRDefault="00877997" w:rsidP="00421E8E">
      <w:pPr>
        <w:pStyle w:val="Sinespaciado"/>
        <w:jc w:val="both"/>
        <w:rPr>
          <w:sz w:val="16"/>
          <w:szCs w:val="16"/>
        </w:rPr>
      </w:pPr>
    </w:p>
    <w:p w14:paraId="5E59F063" w14:textId="77777777" w:rsidR="00877997" w:rsidRPr="00835574" w:rsidRDefault="00877997" w:rsidP="009157BA">
      <w:pPr>
        <w:pStyle w:val="Sinespaciado"/>
        <w:jc w:val="center"/>
        <w:rPr>
          <w:b/>
          <w:bCs/>
        </w:rPr>
      </w:pPr>
      <w:r w:rsidRPr="00835574">
        <w:rPr>
          <w:b/>
          <w:bCs/>
        </w:rPr>
        <w:t>Porcentaje de población con vulnerabilidad por carencias sociales (2020)</w:t>
      </w:r>
    </w:p>
    <w:p w14:paraId="3B67F575" w14:textId="77777777" w:rsidR="00877997" w:rsidRPr="00835574" w:rsidRDefault="00877997" w:rsidP="00421E8E">
      <w:pPr>
        <w:pStyle w:val="Sinespaciado"/>
        <w:jc w:val="both"/>
        <w:rPr>
          <w:sz w:val="18"/>
          <w:szCs w:val="18"/>
        </w:rPr>
      </w:pPr>
    </w:p>
    <w:tbl>
      <w:tblPr>
        <w:tblStyle w:val="Tablaconcuadrcula"/>
        <w:tblW w:w="0" w:type="auto"/>
        <w:jc w:val="center"/>
        <w:tblLook w:val="04A0" w:firstRow="1" w:lastRow="0" w:firstColumn="1" w:lastColumn="0" w:noHBand="0" w:noVBand="1"/>
      </w:tblPr>
      <w:tblGrid>
        <w:gridCol w:w="4334"/>
        <w:gridCol w:w="663"/>
        <w:gridCol w:w="663"/>
      </w:tblGrid>
      <w:tr w:rsidR="00835574" w:rsidRPr="00835574" w14:paraId="17810985" w14:textId="77777777" w:rsidTr="00536713">
        <w:trPr>
          <w:jc w:val="center"/>
        </w:trPr>
        <w:tc>
          <w:tcPr>
            <w:tcW w:w="0" w:type="auto"/>
            <w:shd w:val="clear" w:color="auto" w:fill="F2F2F2" w:themeFill="background1" w:themeFillShade="F2"/>
          </w:tcPr>
          <w:p w14:paraId="1E406E23" w14:textId="77777777" w:rsidR="00877997" w:rsidRPr="00835574" w:rsidRDefault="00877997" w:rsidP="00421E8E">
            <w:pPr>
              <w:pStyle w:val="Sinespaciado"/>
              <w:jc w:val="both"/>
            </w:pPr>
            <w:r w:rsidRPr="00835574">
              <w:t>Carencia social</w:t>
            </w:r>
          </w:p>
        </w:tc>
        <w:tc>
          <w:tcPr>
            <w:tcW w:w="0" w:type="auto"/>
            <w:shd w:val="clear" w:color="auto" w:fill="F2F2F2" w:themeFill="background1" w:themeFillShade="F2"/>
          </w:tcPr>
          <w:p w14:paraId="28CDE605" w14:textId="77777777" w:rsidR="00877997" w:rsidRPr="00835574" w:rsidRDefault="00877997" w:rsidP="00421E8E">
            <w:pPr>
              <w:pStyle w:val="Sinespaciado"/>
              <w:jc w:val="both"/>
            </w:pPr>
            <w:r w:rsidRPr="00835574">
              <w:t>2018</w:t>
            </w:r>
          </w:p>
        </w:tc>
        <w:tc>
          <w:tcPr>
            <w:tcW w:w="0" w:type="auto"/>
            <w:shd w:val="clear" w:color="auto" w:fill="F2F2F2" w:themeFill="background1" w:themeFillShade="F2"/>
          </w:tcPr>
          <w:p w14:paraId="7DFE1538" w14:textId="77777777" w:rsidR="00877997" w:rsidRPr="00835574" w:rsidRDefault="00877997" w:rsidP="00421E8E">
            <w:pPr>
              <w:pStyle w:val="Sinespaciado"/>
              <w:jc w:val="both"/>
            </w:pPr>
            <w:r w:rsidRPr="00835574">
              <w:t>2020</w:t>
            </w:r>
          </w:p>
        </w:tc>
      </w:tr>
      <w:tr w:rsidR="00835574" w:rsidRPr="00835574" w14:paraId="30B1C08D" w14:textId="77777777" w:rsidTr="00536713">
        <w:trPr>
          <w:jc w:val="center"/>
        </w:trPr>
        <w:tc>
          <w:tcPr>
            <w:tcW w:w="0" w:type="auto"/>
          </w:tcPr>
          <w:p w14:paraId="4C56F6AD" w14:textId="77777777" w:rsidR="00877997" w:rsidRPr="00835574" w:rsidRDefault="00877997" w:rsidP="00421E8E">
            <w:pPr>
              <w:pStyle w:val="Sinespaciado"/>
              <w:jc w:val="both"/>
            </w:pPr>
            <w:r w:rsidRPr="00835574">
              <w:t>Rezago educativo</w:t>
            </w:r>
          </w:p>
        </w:tc>
        <w:tc>
          <w:tcPr>
            <w:tcW w:w="0" w:type="auto"/>
          </w:tcPr>
          <w:p w14:paraId="3F423000" w14:textId="77777777" w:rsidR="00877997" w:rsidRPr="00835574" w:rsidRDefault="00877997" w:rsidP="00421E8E">
            <w:pPr>
              <w:pStyle w:val="Sinespaciado"/>
              <w:jc w:val="both"/>
            </w:pPr>
            <w:r w:rsidRPr="00835574">
              <w:t>29.6</w:t>
            </w:r>
          </w:p>
        </w:tc>
        <w:tc>
          <w:tcPr>
            <w:tcW w:w="0" w:type="auto"/>
          </w:tcPr>
          <w:p w14:paraId="69385214" w14:textId="77777777" w:rsidR="00877997" w:rsidRPr="00835574" w:rsidRDefault="00877997" w:rsidP="00421E8E">
            <w:pPr>
              <w:pStyle w:val="Sinespaciado"/>
              <w:jc w:val="both"/>
            </w:pPr>
            <w:r w:rsidRPr="00835574">
              <w:t>29.6</w:t>
            </w:r>
          </w:p>
        </w:tc>
      </w:tr>
      <w:tr w:rsidR="00835574" w:rsidRPr="00835574" w14:paraId="7FC4F4C1" w14:textId="77777777" w:rsidTr="00536713">
        <w:trPr>
          <w:jc w:val="center"/>
        </w:trPr>
        <w:tc>
          <w:tcPr>
            <w:tcW w:w="0" w:type="auto"/>
          </w:tcPr>
          <w:p w14:paraId="2E34C1A8" w14:textId="77777777" w:rsidR="00877997" w:rsidRPr="00835574" w:rsidRDefault="00877997" w:rsidP="00421E8E">
            <w:pPr>
              <w:pStyle w:val="Sinespaciado"/>
              <w:jc w:val="both"/>
            </w:pPr>
            <w:r w:rsidRPr="00835574">
              <w:t>Acceso a los servicios de salud</w:t>
            </w:r>
          </w:p>
        </w:tc>
        <w:tc>
          <w:tcPr>
            <w:tcW w:w="0" w:type="auto"/>
          </w:tcPr>
          <w:p w14:paraId="38F61B1B" w14:textId="77777777" w:rsidR="00877997" w:rsidRPr="00835574" w:rsidRDefault="00877997" w:rsidP="00421E8E">
            <w:pPr>
              <w:pStyle w:val="Sinespaciado"/>
              <w:jc w:val="both"/>
            </w:pPr>
            <w:r w:rsidRPr="00835574">
              <w:t>16.3</w:t>
            </w:r>
          </w:p>
        </w:tc>
        <w:tc>
          <w:tcPr>
            <w:tcW w:w="0" w:type="auto"/>
          </w:tcPr>
          <w:p w14:paraId="547AA2D0" w14:textId="77777777" w:rsidR="00877997" w:rsidRPr="00835574" w:rsidRDefault="00877997" w:rsidP="00421E8E">
            <w:pPr>
              <w:pStyle w:val="Sinespaciado"/>
              <w:jc w:val="both"/>
            </w:pPr>
            <w:r w:rsidRPr="00835574">
              <w:t>36.9</w:t>
            </w:r>
          </w:p>
        </w:tc>
      </w:tr>
      <w:tr w:rsidR="00835574" w:rsidRPr="00835574" w14:paraId="3DA750FE" w14:textId="77777777" w:rsidTr="00536713">
        <w:trPr>
          <w:jc w:val="center"/>
        </w:trPr>
        <w:tc>
          <w:tcPr>
            <w:tcW w:w="0" w:type="auto"/>
          </w:tcPr>
          <w:p w14:paraId="41EE7F3B" w14:textId="77777777" w:rsidR="00877997" w:rsidRPr="00835574" w:rsidRDefault="00877997" w:rsidP="00421E8E">
            <w:pPr>
              <w:pStyle w:val="Sinespaciado"/>
              <w:jc w:val="both"/>
            </w:pPr>
            <w:r w:rsidRPr="00835574">
              <w:t>Acceso a la seguridad social</w:t>
            </w:r>
          </w:p>
        </w:tc>
        <w:tc>
          <w:tcPr>
            <w:tcW w:w="0" w:type="auto"/>
          </w:tcPr>
          <w:p w14:paraId="7593E2A8" w14:textId="77777777" w:rsidR="00877997" w:rsidRPr="00835574" w:rsidRDefault="00877997" w:rsidP="00421E8E">
            <w:pPr>
              <w:pStyle w:val="Sinespaciado"/>
              <w:jc w:val="both"/>
            </w:pPr>
            <w:r w:rsidRPr="00835574">
              <w:t>78.3</w:t>
            </w:r>
          </w:p>
        </w:tc>
        <w:tc>
          <w:tcPr>
            <w:tcW w:w="0" w:type="auto"/>
          </w:tcPr>
          <w:p w14:paraId="456B3A45" w14:textId="77777777" w:rsidR="00877997" w:rsidRPr="00835574" w:rsidRDefault="00877997" w:rsidP="00421E8E">
            <w:pPr>
              <w:pStyle w:val="Sinespaciado"/>
              <w:jc w:val="both"/>
            </w:pPr>
            <w:r w:rsidRPr="00835574">
              <w:t>73.0</w:t>
            </w:r>
          </w:p>
        </w:tc>
      </w:tr>
      <w:tr w:rsidR="00835574" w:rsidRPr="00835574" w14:paraId="30EB6F7A" w14:textId="77777777" w:rsidTr="00536713">
        <w:trPr>
          <w:jc w:val="center"/>
        </w:trPr>
        <w:tc>
          <w:tcPr>
            <w:tcW w:w="0" w:type="auto"/>
          </w:tcPr>
          <w:p w14:paraId="56DAF7A4" w14:textId="77777777" w:rsidR="00877997" w:rsidRPr="00835574" w:rsidRDefault="00877997" w:rsidP="00421E8E">
            <w:pPr>
              <w:pStyle w:val="Sinespaciado"/>
              <w:jc w:val="both"/>
            </w:pPr>
            <w:r w:rsidRPr="00835574">
              <w:t>Calidad y espacios de vivienda</w:t>
            </w:r>
          </w:p>
        </w:tc>
        <w:tc>
          <w:tcPr>
            <w:tcW w:w="0" w:type="auto"/>
          </w:tcPr>
          <w:p w14:paraId="295B207A" w14:textId="77777777" w:rsidR="00877997" w:rsidRPr="00835574" w:rsidRDefault="00877997" w:rsidP="00421E8E">
            <w:pPr>
              <w:pStyle w:val="Sinespaciado"/>
              <w:jc w:val="both"/>
            </w:pPr>
            <w:r w:rsidRPr="00835574">
              <w:t>25.1</w:t>
            </w:r>
          </w:p>
        </w:tc>
        <w:tc>
          <w:tcPr>
            <w:tcW w:w="0" w:type="auto"/>
          </w:tcPr>
          <w:p w14:paraId="27F9B041" w14:textId="77777777" w:rsidR="00877997" w:rsidRPr="00835574" w:rsidRDefault="00877997" w:rsidP="00421E8E">
            <w:pPr>
              <w:pStyle w:val="Sinespaciado"/>
              <w:jc w:val="both"/>
            </w:pPr>
            <w:r w:rsidRPr="00835574">
              <w:t>22.7</w:t>
            </w:r>
          </w:p>
        </w:tc>
      </w:tr>
      <w:tr w:rsidR="00835574" w:rsidRPr="00835574" w14:paraId="13905A53" w14:textId="77777777" w:rsidTr="00536713">
        <w:trPr>
          <w:jc w:val="center"/>
        </w:trPr>
        <w:tc>
          <w:tcPr>
            <w:tcW w:w="0" w:type="auto"/>
          </w:tcPr>
          <w:p w14:paraId="53206832" w14:textId="77777777" w:rsidR="00877997" w:rsidRPr="00835574" w:rsidRDefault="00877997" w:rsidP="00421E8E">
            <w:pPr>
              <w:pStyle w:val="Sinespaciado"/>
              <w:jc w:val="both"/>
            </w:pPr>
            <w:r w:rsidRPr="00835574">
              <w:t>Acceso a los servicios básicos en la vivienda</w:t>
            </w:r>
          </w:p>
        </w:tc>
        <w:tc>
          <w:tcPr>
            <w:tcW w:w="0" w:type="auto"/>
          </w:tcPr>
          <w:p w14:paraId="1D4A2DF1" w14:textId="77777777" w:rsidR="00877997" w:rsidRPr="00835574" w:rsidRDefault="00877997" w:rsidP="00421E8E">
            <w:pPr>
              <w:pStyle w:val="Sinespaciado"/>
              <w:jc w:val="both"/>
            </w:pPr>
            <w:r w:rsidRPr="00835574">
              <w:t>58.3</w:t>
            </w:r>
          </w:p>
        </w:tc>
        <w:tc>
          <w:tcPr>
            <w:tcW w:w="0" w:type="auto"/>
          </w:tcPr>
          <w:p w14:paraId="41D13FFB" w14:textId="77777777" w:rsidR="00877997" w:rsidRPr="00835574" w:rsidRDefault="00877997" w:rsidP="00421E8E">
            <w:pPr>
              <w:pStyle w:val="Sinespaciado"/>
              <w:jc w:val="both"/>
            </w:pPr>
            <w:r w:rsidRPr="00835574">
              <w:t>53.7</w:t>
            </w:r>
          </w:p>
        </w:tc>
      </w:tr>
      <w:tr w:rsidR="00835574" w:rsidRPr="00835574" w14:paraId="1BA99513" w14:textId="77777777" w:rsidTr="00536713">
        <w:trPr>
          <w:jc w:val="center"/>
        </w:trPr>
        <w:tc>
          <w:tcPr>
            <w:tcW w:w="0" w:type="auto"/>
          </w:tcPr>
          <w:p w14:paraId="23E5E956" w14:textId="77777777" w:rsidR="00877997" w:rsidRPr="00835574" w:rsidRDefault="00877997" w:rsidP="00421E8E">
            <w:pPr>
              <w:pStyle w:val="Sinespaciado"/>
              <w:jc w:val="both"/>
            </w:pPr>
            <w:r w:rsidRPr="00835574">
              <w:t>Acceso a la alimentación nutritiva y de calidad</w:t>
            </w:r>
          </w:p>
        </w:tc>
        <w:tc>
          <w:tcPr>
            <w:tcW w:w="0" w:type="auto"/>
          </w:tcPr>
          <w:p w14:paraId="46355126" w14:textId="77777777" w:rsidR="00877997" w:rsidRPr="00835574" w:rsidRDefault="00877997" w:rsidP="00421E8E">
            <w:pPr>
              <w:pStyle w:val="Sinespaciado"/>
              <w:jc w:val="both"/>
            </w:pPr>
            <w:r w:rsidRPr="00835574">
              <w:t>32.0</w:t>
            </w:r>
          </w:p>
        </w:tc>
        <w:tc>
          <w:tcPr>
            <w:tcW w:w="0" w:type="auto"/>
          </w:tcPr>
          <w:p w14:paraId="0676EE88" w14:textId="77777777" w:rsidR="00877997" w:rsidRPr="00835574" w:rsidRDefault="00877997" w:rsidP="00421E8E">
            <w:pPr>
              <w:pStyle w:val="Sinespaciado"/>
              <w:jc w:val="both"/>
            </w:pPr>
            <w:r w:rsidRPr="00835574">
              <w:t>33.3</w:t>
            </w:r>
          </w:p>
        </w:tc>
      </w:tr>
    </w:tbl>
    <w:p w14:paraId="53C8C02F" w14:textId="3090AC93" w:rsidR="00877997" w:rsidRPr="00835574" w:rsidRDefault="00877997" w:rsidP="009157BA">
      <w:pPr>
        <w:pStyle w:val="Sinespaciado"/>
        <w:ind w:left="1560"/>
        <w:jc w:val="both"/>
        <w:rPr>
          <w:sz w:val="18"/>
          <w:szCs w:val="18"/>
        </w:rPr>
      </w:pPr>
      <w:r w:rsidRPr="00835574">
        <w:rPr>
          <w:sz w:val="18"/>
          <w:szCs w:val="18"/>
        </w:rPr>
        <w:t>Fuente: CONEVAL</w:t>
      </w:r>
    </w:p>
    <w:p w14:paraId="3939403F" w14:textId="77777777" w:rsidR="00EE5FC4" w:rsidRPr="00835574" w:rsidRDefault="00EE5FC4" w:rsidP="00421E8E">
      <w:pPr>
        <w:pStyle w:val="Sinespaciado"/>
        <w:jc w:val="both"/>
        <w:rPr>
          <w:sz w:val="18"/>
          <w:szCs w:val="18"/>
        </w:rPr>
      </w:pPr>
    </w:p>
    <w:p w14:paraId="5CA406FD" w14:textId="725264FD" w:rsidR="00E63A3C" w:rsidRPr="00835574" w:rsidRDefault="00C52939" w:rsidP="00421E8E">
      <w:pPr>
        <w:pStyle w:val="Sinespaciado"/>
        <w:jc w:val="both"/>
      </w:pPr>
      <w:r>
        <w:t>Durante</w:t>
      </w:r>
      <w:r w:rsidR="00877997" w:rsidRPr="00835574">
        <w:t xml:space="preserve"> el año 2020, la población con ingreso inferior a la línea de pobreza extrema por ingreso pasó del 30.4 por ciento en 2018 a 28.7 por ciento en 2020, lo anterior en congruencia con la disminución de la población con ingreso inferior a la línea de pobreza por ingreso que pasó del 67.2 por ciento en 2018 al 64.1 por ciento en 2020.</w:t>
      </w:r>
    </w:p>
    <w:p w14:paraId="3A58AF72" w14:textId="774F8519" w:rsidR="000A7540" w:rsidRPr="00835574" w:rsidRDefault="000A7540" w:rsidP="00421E8E">
      <w:pPr>
        <w:pStyle w:val="Sinespaciado"/>
        <w:jc w:val="both"/>
      </w:pPr>
    </w:p>
    <w:p w14:paraId="40B2045F" w14:textId="7313AA95" w:rsidR="000A7540" w:rsidRPr="00835574" w:rsidRDefault="000A7540" w:rsidP="00421E8E">
      <w:pPr>
        <w:pStyle w:val="Sinespaciado"/>
        <w:jc w:val="both"/>
        <w:rPr>
          <w:b/>
          <w:bCs/>
        </w:rPr>
      </w:pPr>
      <w:r w:rsidRPr="00835574">
        <w:rPr>
          <w:b/>
          <w:bCs/>
        </w:rPr>
        <w:t>ANTECEDENTES</w:t>
      </w:r>
    </w:p>
    <w:p w14:paraId="5901B389" w14:textId="77777777" w:rsidR="00E63A3C" w:rsidRPr="00835574" w:rsidRDefault="00E63A3C" w:rsidP="00421E8E">
      <w:pPr>
        <w:pStyle w:val="Sinespaciado"/>
        <w:jc w:val="both"/>
      </w:pPr>
    </w:p>
    <w:p w14:paraId="32EEEBDD" w14:textId="1BAD0E13" w:rsidR="00C96496" w:rsidRPr="00835574" w:rsidRDefault="00C96496" w:rsidP="00421E8E">
      <w:pPr>
        <w:pStyle w:val="Sinespaciado"/>
        <w:jc w:val="both"/>
      </w:pPr>
      <w:r w:rsidRPr="00835574">
        <w:t xml:space="preserve">La presente iniciativa se estructura con base en los criterios de legalidad, eficiencia, eficacia, economía, transparencia, honestidad, racionalidad, austeridad, control, rendición de cuentas y equidad de género, con la finalidad de que el presupuesto se asigne para atender las principales </w:t>
      </w:r>
      <w:r w:rsidRPr="00835574">
        <w:lastRenderedPageBreak/>
        <w:t>necesidades y carencias de la población oaxaqueña, que al ser tan amplia y diversa exige gran responsabilidad y cuidado en las asignaciones presupuestarias.</w:t>
      </w:r>
    </w:p>
    <w:p w14:paraId="02A783F1" w14:textId="253826CA" w:rsidR="00C96496" w:rsidRPr="00835574" w:rsidRDefault="00C96496" w:rsidP="00421E8E">
      <w:pPr>
        <w:pStyle w:val="Sinespaciado"/>
        <w:jc w:val="both"/>
        <w:rPr>
          <w:b/>
          <w:bCs/>
        </w:rPr>
      </w:pPr>
    </w:p>
    <w:p w14:paraId="71167F56" w14:textId="2C31334C" w:rsidR="00C96496" w:rsidRPr="00835574" w:rsidRDefault="009141E4" w:rsidP="00421E8E">
      <w:pPr>
        <w:pStyle w:val="Sinespaciado"/>
        <w:jc w:val="both"/>
      </w:pPr>
      <w:r w:rsidRPr="00835574">
        <w:t>El Decreto que se somete a consideración de esa Honorable Legislatura se realiza atendiendo a</w:t>
      </w:r>
      <w:r w:rsidR="00C96496" w:rsidRPr="00835574">
        <w:t xml:space="preserve">l cumplimiento de lo establecido en las Leyes: </w:t>
      </w:r>
      <w:r w:rsidR="0047692F" w:rsidRPr="00835574">
        <w:t xml:space="preserve">de </w:t>
      </w:r>
      <w:r w:rsidR="00C96496" w:rsidRPr="00835574">
        <w:t xml:space="preserve">Disciplina Financiera de las Entidades Federativas y los Municipios, Estatal de Presupuesto y Responsabilidad Hacendaria y su Reglamento; situación que le ha permitido </w:t>
      </w:r>
      <w:r w:rsidRPr="00835574">
        <w:t>a Oaxaca</w:t>
      </w:r>
      <w:r w:rsidR="00C96496" w:rsidRPr="00835574">
        <w:t xml:space="preserve"> tener avances significativos en la implementación del Presupuesto basado en Resultados (PbR). Cabe resaltar </w:t>
      </w:r>
      <w:r w:rsidR="005F410F" w:rsidRPr="00835574">
        <w:t>que,</w:t>
      </w:r>
      <w:r w:rsidR="00C96496" w:rsidRPr="00835574">
        <w:t xml:space="preserve"> en esta materia, en el año 2022 a nivel nacional, el Estado se posicionó con el </w:t>
      </w:r>
      <w:r w:rsidR="005F410F" w:rsidRPr="00835574">
        <w:t>88.3</w:t>
      </w:r>
      <w:r w:rsidR="00C96496" w:rsidRPr="00835574">
        <w:t xml:space="preserve">% </w:t>
      </w:r>
      <w:r w:rsidR="003673E0">
        <w:t xml:space="preserve">de porcentaje de avance </w:t>
      </w:r>
      <w:r w:rsidR="00C96496" w:rsidRPr="00835574">
        <w:t xml:space="preserve">como la Entidad Federativa con el </w:t>
      </w:r>
      <w:r w:rsidR="005F410F" w:rsidRPr="00835574">
        <w:t>sexto</w:t>
      </w:r>
      <w:r w:rsidR="00C96496" w:rsidRPr="00835574">
        <w:t xml:space="preserve"> mayor nivel de cumplimiento en la implementación del PbR-SED de acuerdo con la evaluación realizada por la </w:t>
      </w:r>
      <w:r w:rsidR="005F410F" w:rsidRPr="00835574">
        <w:t>SHCP</w:t>
      </w:r>
      <w:r w:rsidR="005F410F" w:rsidRPr="00835574">
        <w:rPr>
          <w:rStyle w:val="Refdenotaalpie"/>
          <w:rFonts w:ascii="Arial" w:hAnsi="Arial" w:cs="Arial"/>
        </w:rPr>
        <w:footnoteReference w:id="19"/>
      </w:r>
      <w:r w:rsidR="005F410F" w:rsidRPr="00835574">
        <w:t>.</w:t>
      </w:r>
    </w:p>
    <w:p w14:paraId="1A8AD15B" w14:textId="77777777" w:rsidR="009141E4" w:rsidRPr="00835574" w:rsidRDefault="009141E4" w:rsidP="00421E8E">
      <w:pPr>
        <w:pStyle w:val="Sinespaciado"/>
        <w:jc w:val="both"/>
      </w:pPr>
    </w:p>
    <w:p w14:paraId="08BB464E" w14:textId="1384C2AE" w:rsidR="001842FD" w:rsidRPr="00835574" w:rsidRDefault="001842FD" w:rsidP="00421E8E">
      <w:pPr>
        <w:pStyle w:val="Sinespaciado"/>
        <w:jc w:val="both"/>
        <w:rPr>
          <w:b/>
          <w:bCs/>
        </w:rPr>
      </w:pPr>
      <w:r w:rsidRPr="00835574">
        <w:rPr>
          <w:b/>
          <w:bCs/>
        </w:rPr>
        <w:t>Porcentaje de Avance en la Implementación y Operación del PbR-SED en las</w:t>
      </w:r>
    </w:p>
    <w:p w14:paraId="3228E97D" w14:textId="5B09241D" w:rsidR="001842FD" w:rsidRPr="00835574" w:rsidRDefault="001842FD" w:rsidP="00421E8E">
      <w:pPr>
        <w:pStyle w:val="Sinespaciado"/>
        <w:jc w:val="both"/>
        <w:rPr>
          <w:b/>
          <w:bCs/>
        </w:rPr>
      </w:pPr>
      <w:r w:rsidRPr="00835574">
        <w:rPr>
          <w:b/>
          <w:bCs/>
        </w:rPr>
        <w:t>Entidades Federativas</w:t>
      </w:r>
    </w:p>
    <w:p w14:paraId="0FA6DF65" w14:textId="0307A426" w:rsidR="001842FD" w:rsidRPr="00835574" w:rsidRDefault="001842FD" w:rsidP="00583DDB">
      <w:pPr>
        <w:pStyle w:val="Sinespaciado"/>
        <w:jc w:val="center"/>
      </w:pPr>
      <w:r w:rsidRPr="00835574">
        <w:rPr>
          <w:noProof/>
          <w:lang w:eastAsia="es-MX"/>
        </w:rPr>
        <w:drawing>
          <wp:inline distT="0" distB="0" distL="0" distR="0" wp14:anchorId="57310964" wp14:editId="6386C30B">
            <wp:extent cx="5612130" cy="3054985"/>
            <wp:effectExtent l="0" t="0" r="7620" b="0"/>
            <wp:docPr id="2" name="Imagen 4">
              <a:extLst xmlns:a="http://schemas.openxmlformats.org/drawingml/2006/main">
                <a:ext uri="{FF2B5EF4-FFF2-40B4-BE49-F238E27FC236}">
                  <a16:creationId xmlns:a16="http://schemas.microsoft.com/office/drawing/2014/main" id="{FCAD5AF4-AB74-769E-6864-4DBC62444A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CAD5AF4-AB74-769E-6864-4DBC62444A0F}"/>
                        </a:ext>
                      </a:extLst>
                    </pic:cNvPr>
                    <pic:cNvPicPr>
                      <a:picLocks noChangeAspect="1"/>
                    </pic:cNvPicPr>
                  </pic:nvPicPr>
                  <pic:blipFill rotWithShape="1">
                    <a:blip r:embed="rId13"/>
                    <a:srcRect l="14234" t="25890" r="19032" b="9524"/>
                    <a:stretch/>
                  </pic:blipFill>
                  <pic:spPr>
                    <a:xfrm>
                      <a:off x="0" y="0"/>
                      <a:ext cx="5612130" cy="3054985"/>
                    </a:xfrm>
                    <a:prstGeom prst="rect">
                      <a:avLst/>
                    </a:prstGeom>
                  </pic:spPr>
                </pic:pic>
              </a:graphicData>
            </a:graphic>
          </wp:inline>
        </w:drawing>
      </w:r>
    </w:p>
    <w:p w14:paraId="753A05AB" w14:textId="4C882CB0" w:rsidR="001842FD" w:rsidRPr="00835574" w:rsidRDefault="001842FD" w:rsidP="00421E8E">
      <w:pPr>
        <w:pStyle w:val="Sinespaciado"/>
        <w:jc w:val="both"/>
        <w:rPr>
          <w:sz w:val="18"/>
          <w:szCs w:val="18"/>
        </w:rPr>
      </w:pPr>
      <w:r w:rsidRPr="00835574">
        <w:rPr>
          <w:sz w:val="18"/>
          <w:szCs w:val="18"/>
        </w:rPr>
        <w:t xml:space="preserve">Fuente: </w:t>
      </w:r>
      <w:r w:rsidR="005F410F" w:rsidRPr="00835574">
        <w:rPr>
          <w:sz w:val="18"/>
          <w:szCs w:val="18"/>
        </w:rPr>
        <w:t>SHCP</w:t>
      </w:r>
      <w:r w:rsidRPr="00835574">
        <w:rPr>
          <w:sz w:val="18"/>
          <w:szCs w:val="18"/>
        </w:rPr>
        <w:t>.</w:t>
      </w:r>
    </w:p>
    <w:p w14:paraId="7336AEA3" w14:textId="77777777" w:rsidR="00C96496" w:rsidRPr="00835574" w:rsidRDefault="00C96496" w:rsidP="00421E8E">
      <w:pPr>
        <w:pStyle w:val="Sinespaciado"/>
        <w:jc w:val="both"/>
        <w:rPr>
          <w:b/>
          <w:bCs/>
        </w:rPr>
      </w:pPr>
    </w:p>
    <w:p w14:paraId="18C4A3C2" w14:textId="2C55B5C4" w:rsidR="00A00EC1" w:rsidRDefault="00A00EC1" w:rsidP="00421E8E">
      <w:pPr>
        <w:pStyle w:val="Sinespaciado"/>
        <w:jc w:val="both"/>
      </w:pPr>
      <w:r w:rsidRPr="00835574">
        <w:t>As</w:t>
      </w:r>
      <w:r w:rsidR="0047692F" w:rsidRPr="00835574">
        <w:t>imismo</w:t>
      </w:r>
      <w:r w:rsidRPr="00835574">
        <w:t xml:space="preserve">, se destaca el comportamiento mostrado según el Semáforo de Alertas que indica una mayor sostenibilidad de la deuda del Estado, </w:t>
      </w:r>
      <w:r w:rsidR="00D27CF4" w:rsidRPr="00835574">
        <w:t xml:space="preserve">misma que </w:t>
      </w:r>
      <w:r w:rsidRPr="00835574">
        <w:t xml:space="preserve">es resultado de las acciones implementadas en los últimos años, encaminadas principalmente a disminuir la deuda de corto plazo y </w:t>
      </w:r>
      <w:r w:rsidR="00D27CF4" w:rsidRPr="00835574">
        <w:t xml:space="preserve">los </w:t>
      </w:r>
      <w:r w:rsidRPr="00835574">
        <w:t xml:space="preserve">pasivos contingentes, a fin de fortalecer la disponibilidad en los Ingresos de Libre Disposición; a la fecha el </w:t>
      </w:r>
      <w:r w:rsidR="009141E4" w:rsidRPr="00835574">
        <w:t>e</w:t>
      </w:r>
      <w:r w:rsidRPr="00835574">
        <w:t xml:space="preserve">stado de Oaxaca, </w:t>
      </w:r>
      <w:r w:rsidR="009141E4" w:rsidRPr="00835574">
        <w:t>se encuentra</w:t>
      </w:r>
      <w:r w:rsidRPr="00835574">
        <w:t xml:space="preserve"> etiquetado con </w:t>
      </w:r>
      <w:r w:rsidRPr="00835574">
        <w:rPr>
          <w:b/>
          <w:bCs/>
        </w:rPr>
        <w:t>endeudamiento sostenible</w:t>
      </w:r>
      <w:r w:rsidRPr="00835574">
        <w:t xml:space="preserve">, lo anterior como resultado de Políticas Públicas acertadas y un adecuado manejo del Presupuesto y del </w:t>
      </w:r>
      <w:r w:rsidRPr="00835574">
        <w:lastRenderedPageBreak/>
        <w:t>endeudamiento; lo cual en apego a la Ley de Disciplina Financiera de las Entidades Federativas y los Municipios (Ley de Disciplina), permite una mayor flexibilidad en el uso de los recursos de libre disposición.</w:t>
      </w:r>
    </w:p>
    <w:p w14:paraId="6F2ADC38" w14:textId="77777777" w:rsidR="00070B25" w:rsidRPr="00835574" w:rsidRDefault="00070B25" w:rsidP="00421E8E">
      <w:pPr>
        <w:pStyle w:val="Sinespaciado"/>
        <w:jc w:val="both"/>
      </w:pPr>
    </w:p>
    <w:p w14:paraId="3751D50E" w14:textId="59674D1B" w:rsidR="001A6C6B" w:rsidRPr="00835574" w:rsidRDefault="001A6C6B" w:rsidP="00583DDB">
      <w:pPr>
        <w:pStyle w:val="Sinespaciado"/>
        <w:jc w:val="center"/>
      </w:pPr>
      <w:r w:rsidRPr="00835574">
        <w:rPr>
          <w:noProof/>
          <w:lang w:eastAsia="es-MX"/>
        </w:rPr>
        <w:drawing>
          <wp:inline distT="0" distB="0" distL="0" distR="0" wp14:anchorId="6B05E889" wp14:editId="29596201">
            <wp:extent cx="5612130" cy="195453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954530"/>
                    </a:xfrm>
                    <a:prstGeom prst="rect">
                      <a:avLst/>
                    </a:prstGeom>
                    <a:noFill/>
                    <a:ln>
                      <a:noFill/>
                    </a:ln>
                  </pic:spPr>
                </pic:pic>
              </a:graphicData>
            </a:graphic>
          </wp:inline>
        </w:drawing>
      </w:r>
    </w:p>
    <w:p w14:paraId="67E1139D" w14:textId="77777777" w:rsidR="00A00EC1" w:rsidRPr="00835574" w:rsidRDefault="00A00EC1" w:rsidP="00421E8E">
      <w:pPr>
        <w:pStyle w:val="Sinespaciado"/>
        <w:jc w:val="both"/>
        <w:rPr>
          <w:b/>
          <w:bCs/>
        </w:rPr>
      </w:pPr>
    </w:p>
    <w:p w14:paraId="79BBF215" w14:textId="5A4F3D23" w:rsidR="0025729A" w:rsidRDefault="0025729A" w:rsidP="00421E8E">
      <w:pPr>
        <w:pStyle w:val="Sinespaciado"/>
        <w:jc w:val="both"/>
        <w:rPr>
          <w:b/>
          <w:bCs/>
        </w:rPr>
      </w:pPr>
      <w:r w:rsidRPr="00835574">
        <w:rPr>
          <w:b/>
          <w:bCs/>
        </w:rPr>
        <w:t>CUMPLIMIENTO A LAS REGLAS DE DISCIPLINA FINANCIERA</w:t>
      </w:r>
    </w:p>
    <w:p w14:paraId="2CE95E07" w14:textId="77777777" w:rsidR="00070B25" w:rsidRPr="00835574" w:rsidRDefault="00070B25" w:rsidP="00421E8E">
      <w:pPr>
        <w:pStyle w:val="Sinespaciado"/>
        <w:jc w:val="both"/>
        <w:rPr>
          <w:b/>
          <w:bCs/>
        </w:rPr>
      </w:pPr>
    </w:p>
    <w:p w14:paraId="3A4316BA" w14:textId="2E81E013" w:rsidR="0025729A" w:rsidRPr="00835574" w:rsidRDefault="0025729A">
      <w:pPr>
        <w:pStyle w:val="Sinespaciado"/>
        <w:numPr>
          <w:ilvl w:val="0"/>
          <w:numId w:val="21"/>
        </w:numPr>
        <w:jc w:val="both"/>
        <w:rPr>
          <w:b/>
          <w:bCs/>
        </w:rPr>
      </w:pPr>
      <w:r w:rsidRPr="00835574">
        <w:rPr>
          <w:b/>
          <w:bCs/>
        </w:rPr>
        <w:t>OBJETIVOS, ESTRATEGIAS Y METAS DEL GASTO DEL PRESUPUESTO DE EGRESOS</w:t>
      </w:r>
    </w:p>
    <w:p w14:paraId="3ACBA43A" w14:textId="77777777" w:rsidR="0025729A" w:rsidRPr="00835574" w:rsidRDefault="0025729A" w:rsidP="00421E8E">
      <w:pPr>
        <w:pStyle w:val="Sinespaciado"/>
        <w:jc w:val="both"/>
      </w:pPr>
    </w:p>
    <w:p w14:paraId="3715651C" w14:textId="7ECC571E" w:rsidR="007557A7" w:rsidRPr="00835574" w:rsidRDefault="0025729A" w:rsidP="00421E8E">
      <w:pPr>
        <w:pStyle w:val="Sinespaciado"/>
        <w:jc w:val="both"/>
      </w:pPr>
      <w:r w:rsidRPr="00835574">
        <w:t>Para dar cumplimiento a lo dispuesto en el artículo 5 fracción I de la Ley de Disciplina y, 36, fracción I, inciso b) de la Ley Estatal de Presupuesto y Responsabilidad Hacendaria, se enlistan las objetivos, estrategias y metas del gasto del Poder Ejecutivo</w:t>
      </w:r>
      <w:r w:rsidR="007C1091" w:rsidRPr="00835574">
        <w:t xml:space="preserve"> para el ejercicio fiscal 2023</w:t>
      </w:r>
      <w:r w:rsidRPr="00835574">
        <w:t>, así mismo, se enuncian los objetivos, estrategias y metas del gasto de los Poderes Legislativo y Judicial, así como de los Órganos Autónomos, que fueron remitidas al Ejecutivo para su inclusión en la presente iniciativa.</w:t>
      </w:r>
    </w:p>
    <w:p w14:paraId="4AD4AF26" w14:textId="0A867329" w:rsidR="007557A7" w:rsidRPr="00835574" w:rsidRDefault="007557A7" w:rsidP="00421E8E">
      <w:pPr>
        <w:pStyle w:val="Sinespaciado"/>
        <w:jc w:val="both"/>
      </w:pPr>
    </w:p>
    <w:p w14:paraId="2D4E8AAD" w14:textId="78083BE6" w:rsidR="0021334C" w:rsidRPr="00835574" w:rsidRDefault="0025729A">
      <w:pPr>
        <w:pStyle w:val="Sinespaciado"/>
        <w:numPr>
          <w:ilvl w:val="0"/>
          <w:numId w:val="4"/>
        </w:numPr>
        <w:jc w:val="both"/>
        <w:rPr>
          <w:b/>
          <w:bCs/>
          <w:i/>
          <w:iCs/>
        </w:rPr>
      </w:pPr>
      <w:r w:rsidRPr="00835574">
        <w:rPr>
          <w:b/>
          <w:bCs/>
          <w:i/>
          <w:iCs/>
        </w:rPr>
        <w:t>PODER EJECUTIVO</w:t>
      </w:r>
    </w:p>
    <w:p w14:paraId="3E89AFC2" w14:textId="77777777" w:rsidR="000F075A" w:rsidRPr="00835574" w:rsidRDefault="000F075A" w:rsidP="00421E8E">
      <w:pPr>
        <w:pStyle w:val="Sinespaciado"/>
        <w:jc w:val="both"/>
      </w:pPr>
    </w:p>
    <w:p w14:paraId="546F9D4D" w14:textId="58F27979" w:rsidR="005E631A" w:rsidRPr="00835574" w:rsidRDefault="0025729A" w:rsidP="00421E8E">
      <w:pPr>
        <w:pStyle w:val="Sinespaciado"/>
        <w:jc w:val="both"/>
      </w:pPr>
      <w:r w:rsidRPr="00835574">
        <w:t xml:space="preserve">Para el ejercicio fiscal 2023, </w:t>
      </w:r>
      <w:r w:rsidR="00AA6577" w:rsidRPr="00835574">
        <w:t xml:space="preserve">se consolidará la política económica y social del </w:t>
      </w:r>
      <w:r w:rsidR="009141E4" w:rsidRPr="00835574">
        <w:t>E</w:t>
      </w:r>
      <w:r w:rsidR="00AA6577" w:rsidRPr="00835574">
        <w:t xml:space="preserve">stado, destinando recursos a programas de asistencia social, así como a los proyectos de infraestructura estratégicos que, además de garantizar el bienestar de las familias a través de un incremento en sus niveles de ingreso y la creación de mayores fuentes de empleo, </w:t>
      </w:r>
      <w:r w:rsidR="009141E4" w:rsidRPr="00835574">
        <w:t>respetando</w:t>
      </w:r>
      <w:r w:rsidR="00AA6577" w:rsidRPr="00835574">
        <w:t xml:space="preserve"> la cultura y biodiversidad de las comunidades y pueblos indígenas. </w:t>
      </w:r>
    </w:p>
    <w:p w14:paraId="73FD3029" w14:textId="532D9732" w:rsidR="0025729A" w:rsidRPr="00835574" w:rsidRDefault="0025729A" w:rsidP="00421E8E">
      <w:pPr>
        <w:pStyle w:val="Sinespaciado"/>
        <w:jc w:val="both"/>
      </w:pPr>
    </w:p>
    <w:p w14:paraId="35D54C3A" w14:textId="5711CD0F" w:rsidR="0021334C" w:rsidRPr="00835574" w:rsidRDefault="0021334C" w:rsidP="00421E8E">
      <w:pPr>
        <w:pStyle w:val="Sinespaciado"/>
        <w:jc w:val="both"/>
        <w:rPr>
          <w:i/>
          <w:iCs/>
        </w:rPr>
      </w:pPr>
      <w:r w:rsidRPr="00835574">
        <w:rPr>
          <w:i/>
          <w:iCs/>
        </w:rPr>
        <w:t>O</w:t>
      </w:r>
      <w:r w:rsidR="000F075A" w:rsidRPr="00835574">
        <w:rPr>
          <w:i/>
          <w:iCs/>
        </w:rPr>
        <w:t>bjetivos</w:t>
      </w:r>
    </w:p>
    <w:p w14:paraId="4CE8C25F" w14:textId="1875984C" w:rsidR="00581E3E" w:rsidRPr="00835574" w:rsidRDefault="00581E3E" w:rsidP="00421E8E">
      <w:pPr>
        <w:pStyle w:val="Sinespaciado"/>
        <w:jc w:val="both"/>
      </w:pPr>
    </w:p>
    <w:p w14:paraId="0D9D190A" w14:textId="6D334005" w:rsidR="00DD2B8B" w:rsidRPr="00835574" w:rsidRDefault="00DD2B8B">
      <w:pPr>
        <w:pStyle w:val="Sinespaciado"/>
        <w:numPr>
          <w:ilvl w:val="0"/>
          <w:numId w:val="2"/>
        </w:numPr>
      </w:pPr>
      <w:r w:rsidRPr="00835574">
        <w:t>Promover un gobierno honesto, cercano y transparente al servicio de los pueblos y las comunidades</w:t>
      </w:r>
      <w:r w:rsidR="009D744F" w:rsidRPr="00835574">
        <w:t xml:space="preserve">. </w:t>
      </w:r>
    </w:p>
    <w:p w14:paraId="622BEC03" w14:textId="77777777" w:rsidR="00361D62" w:rsidRPr="00835574" w:rsidRDefault="00361D62" w:rsidP="00EE5FC4">
      <w:pPr>
        <w:pStyle w:val="Sinespaciado"/>
      </w:pPr>
    </w:p>
    <w:p w14:paraId="01E01791" w14:textId="4A29ED05" w:rsidR="00361D62" w:rsidRDefault="00DD2B8B" w:rsidP="005115C1">
      <w:pPr>
        <w:pStyle w:val="Sinespaciado"/>
        <w:numPr>
          <w:ilvl w:val="0"/>
          <w:numId w:val="2"/>
        </w:numPr>
      </w:pPr>
      <w:r w:rsidRPr="00835574">
        <w:t xml:space="preserve">Impulsar un estado de bienestar para todas y todos los Oaxaqueños, </w:t>
      </w:r>
      <w:bookmarkStart w:id="2" w:name="_Hlk118370855"/>
      <w:r w:rsidRPr="00835574">
        <w:t>a través de acciones de continuidad en la educación de las niñas, niños, adolescentes y mujeres</w:t>
      </w:r>
      <w:bookmarkEnd w:id="2"/>
      <w:r w:rsidR="00361D62" w:rsidRPr="00835574">
        <w:t>.</w:t>
      </w:r>
    </w:p>
    <w:p w14:paraId="4576C0F7" w14:textId="77777777" w:rsidR="005E631A" w:rsidRPr="00835574" w:rsidRDefault="005E631A" w:rsidP="005E631A">
      <w:pPr>
        <w:pStyle w:val="Sinespaciado"/>
      </w:pPr>
    </w:p>
    <w:p w14:paraId="21B7BE91" w14:textId="5BCDDBE5" w:rsidR="002B410B" w:rsidRDefault="00031859" w:rsidP="001C37CD">
      <w:pPr>
        <w:pStyle w:val="Sinespaciado"/>
        <w:numPr>
          <w:ilvl w:val="0"/>
          <w:numId w:val="2"/>
        </w:numPr>
      </w:pPr>
      <w:r w:rsidRPr="00835574">
        <w:t>Fortalecer la</w:t>
      </w:r>
      <w:r w:rsidR="00361D62" w:rsidRPr="00835574">
        <w:t xml:space="preserve"> seguridad y paz social.</w:t>
      </w:r>
    </w:p>
    <w:p w14:paraId="0379CF9D" w14:textId="77777777" w:rsidR="005E631A" w:rsidRDefault="005E631A" w:rsidP="005E631A">
      <w:pPr>
        <w:pStyle w:val="Sinespaciado"/>
      </w:pPr>
    </w:p>
    <w:p w14:paraId="4F138DF5" w14:textId="21C11E30" w:rsidR="003B07E4" w:rsidRDefault="00031859" w:rsidP="00BC2A34">
      <w:pPr>
        <w:pStyle w:val="Sinespaciado"/>
        <w:numPr>
          <w:ilvl w:val="0"/>
          <w:numId w:val="2"/>
        </w:numPr>
        <w:jc w:val="both"/>
      </w:pPr>
      <w:r w:rsidRPr="00835574">
        <w:t xml:space="preserve">Promover el </w:t>
      </w:r>
      <w:r w:rsidR="00535C5D" w:rsidRPr="00835574">
        <w:t>d</w:t>
      </w:r>
      <w:r w:rsidRPr="00835574">
        <w:t xml:space="preserve">esarrollo </w:t>
      </w:r>
      <w:r w:rsidR="003B07E4" w:rsidRPr="00835574">
        <w:t xml:space="preserve">social y económico </w:t>
      </w:r>
      <w:r w:rsidR="009141E4" w:rsidRPr="00835574">
        <w:t>de la Entidad</w:t>
      </w:r>
      <w:r w:rsidR="003B07E4" w:rsidRPr="00835574">
        <w:t>.</w:t>
      </w:r>
    </w:p>
    <w:p w14:paraId="08AFEC09" w14:textId="77777777" w:rsidR="005E631A" w:rsidRPr="00835574" w:rsidRDefault="005E631A" w:rsidP="005E631A">
      <w:pPr>
        <w:pStyle w:val="Sinespaciado"/>
        <w:jc w:val="both"/>
      </w:pPr>
    </w:p>
    <w:p w14:paraId="1C85062C" w14:textId="1B49F14C" w:rsidR="00031859" w:rsidRPr="00835574" w:rsidRDefault="00031859">
      <w:pPr>
        <w:pStyle w:val="Sinespaciado"/>
        <w:numPr>
          <w:ilvl w:val="0"/>
          <w:numId w:val="1"/>
        </w:numPr>
        <w:jc w:val="both"/>
      </w:pPr>
      <w:r w:rsidRPr="00835574">
        <w:t>Fomentar, incrementar y potenciar a Oaxaca como destino turístico internacional</w:t>
      </w:r>
      <w:r w:rsidR="003B07E4" w:rsidRPr="00835574">
        <w:t>.</w:t>
      </w:r>
      <w:r w:rsidRPr="00835574">
        <w:t xml:space="preserve"> </w:t>
      </w:r>
    </w:p>
    <w:p w14:paraId="7EBABFA8" w14:textId="77777777" w:rsidR="003B07E4" w:rsidRPr="00835574" w:rsidRDefault="003B07E4" w:rsidP="00421E8E">
      <w:pPr>
        <w:pStyle w:val="Sinespaciado"/>
        <w:jc w:val="both"/>
      </w:pPr>
    </w:p>
    <w:p w14:paraId="7C16D399" w14:textId="5800DB48" w:rsidR="00031859" w:rsidRPr="00835574" w:rsidRDefault="00031859">
      <w:pPr>
        <w:pStyle w:val="Sinespaciado"/>
        <w:numPr>
          <w:ilvl w:val="0"/>
          <w:numId w:val="1"/>
        </w:numPr>
        <w:jc w:val="both"/>
      </w:pPr>
      <w:r w:rsidRPr="00835574">
        <w:t>Impulsar el desarrollo de la industria forestal responsable y sostenible, producción agropecuaria</w:t>
      </w:r>
      <w:r w:rsidR="005050E8" w:rsidRPr="00835574">
        <w:t>.</w:t>
      </w:r>
    </w:p>
    <w:p w14:paraId="33E92E33" w14:textId="77777777" w:rsidR="005050E8" w:rsidRPr="00835574" w:rsidRDefault="005050E8" w:rsidP="00421E8E">
      <w:pPr>
        <w:pStyle w:val="Sinespaciado"/>
        <w:jc w:val="both"/>
      </w:pPr>
    </w:p>
    <w:p w14:paraId="5BD268B2" w14:textId="589960D2" w:rsidR="009D744F" w:rsidRPr="00835574" w:rsidRDefault="00031859">
      <w:pPr>
        <w:pStyle w:val="Sinespaciado"/>
        <w:numPr>
          <w:ilvl w:val="0"/>
          <w:numId w:val="1"/>
        </w:numPr>
        <w:jc w:val="both"/>
      </w:pPr>
      <w:r w:rsidRPr="00835574">
        <w:t>Fomentar la creación de emprendimientos</w:t>
      </w:r>
      <w:r w:rsidR="005050E8" w:rsidRPr="00835574">
        <w:t>.</w:t>
      </w:r>
    </w:p>
    <w:p w14:paraId="0F24502D" w14:textId="77777777" w:rsidR="005050E8" w:rsidRPr="00835574" w:rsidRDefault="005050E8" w:rsidP="00421E8E">
      <w:pPr>
        <w:pStyle w:val="Sinespaciado"/>
        <w:jc w:val="both"/>
      </w:pPr>
    </w:p>
    <w:p w14:paraId="7202BE64" w14:textId="1CA50512" w:rsidR="009D744F" w:rsidRPr="00835574" w:rsidRDefault="009D744F" w:rsidP="00A97DEE">
      <w:pPr>
        <w:pStyle w:val="Sinespaciado"/>
        <w:jc w:val="both"/>
      </w:pPr>
      <w:r w:rsidRPr="00835574">
        <w:rPr>
          <w:i/>
          <w:iCs/>
        </w:rPr>
        <w:t>Estrategias</w:t>
      </w:r>
    </w:p>
    <w:p w14:paraId="6E4EFB43" w14:textId="77777777" w:rsidR="009D744F" w:rsidRPr="00835574" w:rsidRDefault="009D744F" w:rsidP="00421E8E">
      <w:pPr>
        <w:pStyle w:val="Sinespaciado"/>
        <w:jc w:val="both"/>
      </w:pPr>
    </w:p>
    <w:p w14:paraId="17D66ECB" w14:textId="77777777" w:rsidR="009D744F" w:rsidRPr="00835574" w:rsidRDefault="009D744F">
      <w:pPr>
        <w:pStyle w:val="Sinespaciado"/>
        <w:numPr>
          <w:ilvl w:val="0"/>
          <w:numId w:val="1"/>
        </w:numPr>
        <w:jc w:val="both"/>
      </w:pPr>
      <w:r w:rsidRPr="00835574">
        <w:t>Mantener mayor disciplina en el ejercicio del gasto, a través de políticas de disciplina financiera que reduzcan el gasto corriente y privilegien el gasto de capital, lo anterior sin afectar los objetivos prioritarios enfocados a impulsar el desarrollo económico y social en la Entidad.</w:t>
      </w:r>
    </w:p>
    <w:p w14:paraId="0A49472D" w14:textId="18651B98" w:rsidR="00031859" w:rsidRPr="00835574" w:rsidRDefault="00031859" w:rsidP="00421E8E">
      <w:pPr>
        <w:pStyle w:val="Sinespaciado"/>
        <w:jc w:val="both"/>
      </w:pPr>
    </w:p>
    <w:p w14:paraId="79F30360" w14:textId="57B78FB6" w:rsidR="00361D62" w:rsidRPr="00835574" w:rsidRDefault="009D744F">
      <w:pPr>
        <w:pStyle w:val="Sinespaciado"/>
        <w:numPr>
          <w:ilvl w:val="0"/>
          <w:numId w:val="1"/>
        </w:numPr>
        <w:jc w:val="both"/>
      </w:pPr>
      <w:r w:rsidRPr="00835574">
        <w:t>Implementar acciones que permitan crear esquemas de coordinación con las instancias municipales</w:t>
      </w:r>
      <w:r w:rsidR="001E205D" w:rsidRPr="00835574">
        <w:t>,</w:t>
      </w:r>
      <w:r w:rsidRPr="00835574">
        <w:t xml:space="preserve"> considerando esencial los valores y prácticas comunitarias para tener un efecto multiplicador de los recursos financieros que se asignen.</w:t>
      </w:r>
    </w:p>
    <w:p w14:paraId="058A18DE" w14:textId="77777777" w:rsidR="00361D62" w:rsidRPr="00835574" w:rsidRDefault="00361D62" w:rsidP="00421E8E">
      <w:pPr>
        <w:pStyle w:val="Sinespaciado"/>
        <w:jc w:val="both"/>
      </w:pPr>
    </w:p>
    <w:p w14:paraId="1AE989E4" w14:textId="3E902188" w:rsidR="00361D62" w:rsidRPr="00835574" w:rsidRDefault="00361D62">
      <w:pPr>
        <w:pStyle w:val="Sinespaciado"/>
        <w:numPr>
          <w:ilvl w:val="0"/>
          <w:numId w:val="1"/>
        </w:numPr>
        <w:jc w:val="both"/>
      </w:pPr>
      <w:r w:rsidRPr="00835574">
        <w:t>Implementar políticas que fomenten la continuidad en la educación de las niñas, niños, adolescentes y mujeres, fomentando la cultura, arte, tradición musical, la práctica de deportes</w:t>
      </w:r>
      <w:r w:rsidR="000C70FD" w:rsidRPr="00835574">
        <w:t>.</w:t>
      </w:r>
    </w:p>
    <w:p w14:paraId="0C5BC134" w14:textId="77777777" w:rsidR="00361D62" w:rsidRPr="00835574" w:rsidRDefault="00361D62" w:rsidP="00421E8E">
      <w:pPr>
        <w:pStyle w:val="Sinespaciado"/>
        <w:jc w:val="both"/>
      </w:pPr>
    </w:p>
    <w:p w14:paraId="7A166C0C" w14:textId="242C41FC" w:rsidR="00361D62" w:rsidRPr="00835574" w:rsidRDefault="00361D62">
      <w:pPr>
        <w:pStyle w:val="Sinespaciado"/>
        <w:numPr>
          <w:ilvl w:val="0"/>
          <w:numId w:val="1"/>
        </w:numPr>
        <w:jc w:val="both"/>
      </w:pPr>
      <w:r w:rsidRPr="00835574">
        <w:t>Propiciar de forma coordinada con el Gobierno Federal un sistema público de salud que permita la atención de la población, poniendo especial énfasis en la prevención de embarazos en adolescentes y en la salud de las mujeres de la Entidad.</w:t>
      </w:r>
    </w:p>
    <w:p w14:paraId="0E945FAE" w14:textId="77777777" w:rsidR="00361D62" w:rsidRPr="00835574" w:rsidRDefault="00361D62" w:rsidP="00421E8E">
      <w:pPr>
        <w:pStyle w:val="Sinespaciado"/>
        <w:jc w:val="both"/>
      </w:pPr>
    </w:p>
    <w:p w14:paraId="2D5C8814" w14:textId="77777777" w:rsidR="00361D62" w:rsidRPr="00835574" w:rsidRDefault="00361D62">
      <w:pPr>
        <w:pStyle w:val="Sinespaciado"/>
        <w:numPr>
          <w:ilvl w:val="0"/>
          <w:numId w:val="1"/>
        </w:numPr>
        <w:jc w:val="both"/>
      </w:pPr>
      <w:r w:rsidRPr="00835574">
        <w:t>Conformar la mesa estatal de seguridad.</w:t>
      </w:r>
    </w:p>
    <w:p w14:paraId="51DD2169" w14:textId="77777777" w:rsidR="00361D62" w:rsidRPr="00835574" w:rsidRDefault="00361D62" w:rsidP="00421E8E">
      <w:pPr>
        <w:pStyle w:val="Sinespaciado"/>
        <w:jc w:val="both"/>
      </w:pPr>
    </w:p>
    <w:p w14:paraId="17E5B401" w14:textId="1F2D41D5" w:rsidR="00361D62" w:rsidRPr="00835574" w:rsidRDefault="00361D62">
      <w:pPr>
        <w:pStyle w:val="Sinespaciado"/>
        <w:numPr>
          <w:ilvl w:val="0"/>
          <w:numId w:val="1"/>
        </w:numPr>
        <w:jc w:val="both"/>
      </w:pPr>
      <w:r w:rsidRPr="00835574">
        <w:t>Crear canales de coordinación con las fuerzas armadas de</w:t>
      </w:r>
      <w:r w:rsidR="003B07E4" w:rsidRPr="00835574">
        <w:t>l país</w:t>
      </w:r>
      <w:r w:rsidRPr="00835574">
        <w:t xml:space="preserve"> y las instituciones de seguridad pública en los tres órdenes de gobierno.</w:t>
      </w:r>
    </w:p>
    <w:p w14:paraId="62375823" w14:textId="77777777" w:rsidR="00361D62" w:rsidRPr="00835574" w:rsidRDefault="00361D62" w:rsidP="00421E8E">
      <w:pPr>
        <w:pStyle w:val="Sinespaciado"/>
        <w:jc w:val="both"/>
      </w:pPr>
    </w:p>
    <w:p w14:paraId="0ED342DC" w14:textId="77777777" w:rsidR="00361D62" w:rsidRPr="00835574" w:rsidRDefault="00361D62">
      <w:pPr>
        <w:pStyle w:val="Sinespaciado"/>
        <w:numPr>
          <w:ilvl w:val="0"/>
          <w:numId w:val="1"/>
        </w:numPr>
        <w:jc w:val="both"/>
      </w:pPr>
      <w:r w:rsidRPr="00835574">
        <w:t>Dignificar la función policial mediante la profesionalización en materia de derechos humanos y perspectiva de género.</w:t>
      </w:r>
    </w:p>
    <w:p w14:paraId="59B8980F" w14:textId="77777777" w:rsidR="00361D62" w:rsidRPr="00835574" w:rsidRDefault="00361D62" w:rsidP="00421E8E">
      <w:pPr>
        <w:pStyle w:val="Sinespaciado"/>
        <w:jc w:val="both"/>
      </w:pPr>
    </w:p>
    <w:p w14:paraId="701245A6" w14:textId="0AB7956D" w:rsidR="00361D62" w:rsidRPr="00835574" w:rsidRDefault="003B07E4">
      <w:pPr>
        <w:pStyle w:val="Sinespaciado"/>
        <w:numPr>
          <w:ilvl w:val="0"/>
          <w:numId w:val="1"/>
        </w:numPr>
        <w:jc w:val="both"/>
      </w:pPr>
      <w:r w:rsidRPr="00835574">
        <w:t>Crear refugios que acojan a las</w:t>
      </w:r>
      <w:r w:rsidR="00361D62" w:rsidRPr="00835574">
        <w:t xml:space="preserve"> víctimas de violencia familiar</w:t>
      </w:r>
      <w:r w:rsidRPr="00835574">
        <w:t xml:space="preserve"> y de género</w:t>
      </w:r>
      <w:r w:rsidR="00361D62" w:rsidRPr="00835574">
        <w:t>.</w:t>
      </w:r>
    </w:p>
    <w:p w14:paraId="66D2CAA3" w14:textId="77777777" w:rsidR="00361D62" w:rsidRPr="00835574" w:rsidRDefault="00361D62" w:rsidP="00421E8E">
      <w:pPr>
        <w:pStyle w:val="Sinespaciado"/>
        <w:jc w:val="both"/>
      </w:pPr>
    </w:p>
    <w:p w14:paraId="13991B38" w14:textId="52328AEB" w:rsidR="003B07E4" w:rsidRPr="00835574" w:rsidRDefault="003B07E4">
      <w:pPr>
        <w:pStyle w:val="Sinespaciado"/>
        <w:numPr>
          <w:ilvl w:val="0"/>
          <w:numId w:val="1"/>
        </w:numPr>
        <w:jc w:val="both"/>
      </w:pPr>
      <w:r w:rsidRPr="00835574">
        <w:lastRenderedPageBreak/>
        <w:t>Destinar recursos para la construcción y modernización de carreteras, autopistas y de infraestructura estratégica, tales como, el corredor interoceánico</w:t>
      </w:r>
      <w:r w:rsidR="009141E4" w:rsidRPr="00835574">
        <w:t>.</w:t>
      </w:r>
    </w:p>
    <w:p w14:paraId="757D94E8" w14:textId="717FD1CB" w:rsidR="003B07E4" w:rsidRDefault="003B07E4">
      <w:pPr>
        <w:pStyle w:val="Sinespaciado"/>
        <w:numPr>
          <w:ilvl w:val="0"/>
          <w:numId w:val="1"/>
        </w:numPr>
        <w:jc w:val="both"/>
      </w:pPr>
      <w:r w:rsidRPr="00835574">
        <w:t>Crear un programa de pavimentación y mantenimiento de caminos utilizando el tequio.</w:t>
      </w:r>
    </w:p>
    <w:p w14:paraId="4FA04F6F" w14:textId="77777777" w:rsidR="00ED3566" w:rsidRPr="00835574" w:rsidRDefault="00ED3566" w:rsidP="00ED3566">
      <w:pPr>
        <w:pStyle w:val="Sinespaciado"/>
        <w:ind w:left="720"/>
        <w:jc w:val="both"/>
      </w:pPr>
    </w:p>
    <w:p w14:paraId="40D9CB86" w14:textId="0FCE6128" w:rsidR="005050E8" w:rsidRPr="00835574" w:rsidRDefault="003B07E4">
      <w:pPr>
        <w:pStyle w:val="Sinespaciado"/>
        <w:numPr>
          <w:ilvl w:val="0"/>
          <w:numId w:val="1"/>
        </w:numPr>
        <w:jc w:val="both"/>
      </w:pPr>
      <w:r w:rsidRPr="00835574">
        <w:t xml:space="preserve">Crear programas de inversión en infraestructura que permitan ofertar rutas turísticas prehispánicas, artesanales, </w:t>
      </w:r>
      <w:r w:rsidR="005050E8" w:rsidRPr="00835574">
        <w:t>ecoturísticas</w:t>
      </w:r>
      <w:r w:rsidRPr="00835574">
        <w:t>, entre otros.</w:t>
      </w:r>
    </w:p>
    <w:p w14:paraId="7B71ED5B" w14:textId="77777777" w:rsidR="00696394" w:rsidRPr="00835574" w:rsidRDefault="00696394" w:rsidP="00421E8E">
      <w:pPr>
        <w:pStyle w:val="Sinespaciado"/>
        <w:jc w:val="both"/>
      </w:pPr>
    </w:p>
    <w:p w14:paraId="50EC26AB" w14:textId="788E5BD7" w:rsidR="00361D62" w:rsidRPr="00835574" w:rsidRDefault="005050E8">
      <w:pPr>
        <w:pStyle w:val="Sinespaciado"/>
        <w:numPr>
          <w:ilvl w:val="0"/>
          <w:numId w:val="1"/>
        </w:numPr>
        <w:jc w:val="both"/>
      </w:pPr>
      <w:r w:rsidRPr="00835574">
        <w:t xml:space="preserve">Establecer mecanismos para que la </w:t>
      </w:r>
      <w:r w:rsidR="00AA6577" w:rsidRPr="00835574">
        <w:t>sociedad oaxaqueña</w:t>
      </w:r>
      <w:r w:rsidRPr="00835574">
        <w:t xml:space="preserve"> tenga acceso a </w:t>
      </w:r>
      <w:r w:rsidR="00AA6577" w:rsidRPr="00835574">
        <w:t>créditos de bajo costo</w:t>
      </w:r>
      <w:r w:rsidR="00DD498A" w:rsidRPr="00835574">
        <w:t>,</w:t>
      </w:r>
      <w:r w:rsidR="00AA6577" w:rsidRPr="00835574">
        <w:t xml:space="preserve"> orientados a impulsar la capacidad productiva del estado.</w:t>
      </w:r>
    </w:p>
    <w:p w14:paraId="51AD9316" w14:textId="77777777" w:rsidR="00AA6577" w:rsidRPr="00835574" w:rsidRDefault="00AA6577" w:rsidP="00421E8E">
      <w:pPr>
        <w:pStyle w:val="Sinespaciado"/>
        <w:jc w:val="both"/>
      </w:pPr>
    </w:p>
    <w:p w14:paraId="7363AB3F" w14:textId="583B9205" w:rsidR="00AA6577" w:rsidRPr="00835574" w:rsidRDefault="00AA6577" w:rsidP="00421E8E">
      <w:pPr>
        <w:pStyle w:val="Sinespaciado"/>
        <w:jc w:val="both"/>
        <w:rPr>
          <w:i/>
          <w:iCs/>
        </w:rPr>
      </w:pPr>
      <w:r w:rsidRPr="00835574">
        <w:rPr>
          <w:i/>
          <w:iCs/>
        </w:rPr>
        <w:t>Metas</w:t>
      </w:r>
    </w:p>
    <w:p w14:paraId="005DA1DD" w14:textId="231738CF" w:rsidR="00AA6577" w:rsidRPr="00835574" w:rsidRDefault="00AA6577" w:rsidP="00421E8E">
      <w:pPr>
        <w:pStyle w:val="Sinespaciado"/>
        <w:jc w:val="both"/>
      </w:pPr>
    </w:p>
    <w:p w14:paraId="48DF3BBA" w14:textId="31BDF143" w:rsidR="00DD2B8B" w:rsidRPr="00835574" w:rsidRDefault="00696394">
      <w:pPr>
        <w:pStyle w:val="Sinespaciado"/>
        <w:numPr>
          <w:ilvl w:val="0"/>
          <w:numId w:val="3"/>
        </w:numPr>
        <w:jc w:val="both"/>
      </w:pPr>
      <w:r w:rsidRPr="00835574">
        <w:t>Mantener en equilibrio las finanzas públicas en el marco del balance presupuestario sostenible y la responsabilidad.</w:t>
      </w:r>
    </w:p>
    <w:p w14:paraId="5EDD5D3F" w14:textId="77777777" w:rsidR="00696394" w:rsidRPr="00835574" w:rsidRDefault="00696394" w:rsidP="00421E8E">
      <w:pPr>
        <w:pStyle w:val="Sinespaciado"/>
        <w:jc w:val="both"/>
      </w:pPr>
    </w:p>
    <w:p w14:paraId="407A93A5" w14:textId="0CFE01B0" w:rsidR="00696394" w:rsidRPr="00835574" w:rsidRDefault="00696394">
      <w:pPr>
        <w:pStyle w:val="Sinespaciado"/>
        <w:numPr>
          <w:ilvl w:val="0"/>
          <w:numId w:val="3"/>
        </w:numPr>
        <w:jc w:val="both"/>
      </w:pPr>
      <w:r w:rsidRPr="00835574">
        <w:t>Incrementar la tasa de cobertura y acceso efectivo de los servicios de salud a toda la población, con la finalidad de disminuir las tasas de mortalidad y morbilidad.</w:t>
      </w:r>
    </w:p>
    <w:p w14:paraId="079383E6" w14:textId="77777777" w:rsidR="00696394" w:rsidRPr="00835574" w:rsidRDefault="00696394" w:rsidP="00421E8E">
      <w:pPr>
        <w:pStyle w:val="Sinespaciado"/>
        <w:jc w:val="both"/>
      </w:pPr>
    </w:p>
    <w:p w14:paraId="4E0F5BEE" w14:textId="24C0B264" w:rsidR="00696394" w:rsidRPr="00835574" w:rsidRDefault="00696394">
      <w:pPr>
        <w:pStyle w:val="Sinespaciado"/>
        <w:numPr>
          <w:ilvl w:val="0"/>
          <w:numId w:val="3"/>
        </w:numPr>
        <w:jc w:val="both"/>
      </w:pPr>
      <w:r w:rsidRPr="00835574">
        <w:t>Incrementar la generación de empleos formales para garantizar el bienestar de la población.</w:t>
      </w:r>
    </w:p>
    <w:p w14:paraId="5344E965" w14:textId="77777777" w:rsidR="00914DEB" w:rsidRPr="00835574" w:rsidRDefault="00914DEB" w:rsidP="00421E8E">
      <w:pPr>
        <w:pStyle w:val="Sinespaciado"/>
        <w:jc w:val="both"/>
      </w:pPr>
    </w:p>
    <w:p w14:paraId="5C3B9EF3" w14:textId="3376E8AA" w:rsidR="00914DEB" w:rsidRPr="00835574" w:rsidRDefault="00914DEB">
      <w:pPr>
        <w:pStyle w:val="Sinespaciado"/>
        <w:numPr>
          <w:ilvl w:val="0"/>
          <w:numId w:val="3"/>
        </w:numPr>
        <w:jc w:val="both"/>
      </w:pPr>
      <w:r w:rsidRPr="00835574">
        <w:t xml:space="preserve">Preservar </w:t>
      </w:r>
      <w:r w:rsidR="00E26AFC" w:rsidRPr="00835574">
        <w:t xml:space="preserve">el </w:t>
      </w:r>
      <w:r w:rsidR="00117244" w:rsidRPr="00835574">
        <w:t>E</w:t>
      </w:r>
      <w:r w:rsidRPr="00835574">
        <w:t>stado de derecho</w:t>
      </w:r>
      <w:r w:rsidR="00FC25C6" w:rsidRPr="00835574">
        <w:t>.</w:t>
      </w:r>
    </w:p>
    <w:p w14:paraId="2E90FE9C" w14:textId="77777777" w:rsidR="00914DEB" w:rsidRPr="00835574" w:rsidRDefault="00914DEB" w:rsidP="00421E8E">
      <w:pPr>
        <w:pStyle w:val="Sinespaciado"/>
        <w:jc w:val="both"/>
      </w:pPr>
    </w:p>
    <w:p w14:paraId="70CBB3D2" w14:textId="56EF8426" w:rsidR="00696394" w:rsidRPr="00835574" w:rsidRDefault="00696394">
      <w:pPr>
        <w:pStyle w:val="Sinespaciado"/>
        <w:numPr>
          <w:ilvl w:val="0"/>
          <w:numId w:val="3"/>
        </w:numPr>
        <w:jc w:val="both"/>
      </w:pPr>
      <w:r w:rsidRPr="00835574">
        <w:t>Disminuir los niveles de delincuencia, delitos, robos e incrementar el nivel de confianza en la seguridad.</w:t>
      </w:r>
    </w:p>
    <w:p w14:paraId="19FE77E2" w14:textId="77777777" w:rsidR="00696394" w:rsidRPr="00835574" w:rsidRDefault="00696394" w:rsidP="00421E8E">
      <w:pPr>
        <w:pStyle w:val="Sinespaciado"/>
        <w:jc w:val="both"/>
      </w:pPr>
    </w:p>
    <w:p w14:paraId="1E0A7644" w14:textId="77777777" w:rsidR="00914DEB" w:rsidRPr="00835574" w:rsidRDefault="00696394">
      <w:pPr>
        <w:pStyle w:val="Sinespaciado"/>
        <w:numPr>
          <w:ilvl w:val="0"/>
          <w:numId w:val="3"/>
        </w:numPr>
        <w:jc w:val="both"/>
      </w:pPr>
      <w:r w:rsidRPr="00835574">
        <w:t>Disminuir los índices delictivos en contra de las mujeres, así como reducir la discriminación y las brechas de desigualdad entre mujeres y hombres</w:t>
      </w:r>
      <w:r w:rsidR="00914DEB" w:rsidRPr="00835574">
        <w:t>.</w:t>
      </w:r>
    </w:p>
    <w:p w14:paraId="1267BF2F" w14:textId="77777777" w:rsidR="00914DEB" w:rsidRPr="00835574" w:rsidRDefault="00914DEB" w:rsidP="00421E8E">
      <w:pPr>
        <w:pStyle w:val="Sinespaciado"/>
        <w:jc w:val="both"/>
      </w:pPr>
    </w:p>
    <w:p w14:paraId="6EDE8F23" w14:textId="44053029" w:rsidR="00082EAB" w:rsidRPr="00835574" w:rsidRDefault="00914DEB">
      <w:pPr>
        <w:pStyle w:val="Sinespaciado"/>
        <w:numPr>
          <w:ilvl w:val="0"/>
          <w:numId w:val="3"/>
        </w:numPr>
        <w:jc w:val="both"/>
      </w:pPr>
      <w:r w:rsidRPr="00835574">
        <w:t>Garantizar al campo oaxaqueño el aprovechamiento sustentable de los recursos naturales, el crecimiento sostenido y equilibrado de las regiones, la generación de empleos y el fortalecimiento de la productividad y competitividad.</w:t>
      </w:r>
    </w:p>
    <w:p w14:paraId="540FFDC4" w14:textId="77777777" w:rsidR="00A3527F" w:rsidRPr="00835574" w:rsidRDefault="00A3527F" w:rsidP="00421E8E">
      <w:pPr>
        <w:pStyle w:val="Sinespaciado"/>
        <w:jc w:val="both"/>
      </w:pPr>
    </w:p>
    <w:p w14:paraId="048731EE" w14:textId="77777777" w:rsidR="00A3527F" w:rsidRPr="00835574" w:rsidRDefault="00A3527F">
      <w:pPr>
        <w:pStyle w:val="Sinespaciado"/>
        <w:numPr>
          <w:ilvl w:val="0"/>
          <w:numId w:val="4"/>
        </w:numPr>
        <w:jc w:val="both"/>
        <w:rPr>
          <w:b/>
          <w:bCs/>
          <w:i/>
          <w:iCs/>
        </w:rPr>
      </w:pPr>
      <w:r w:rsidRPr="00835574">
        <w:rPr>
          <w:b/>
          <w:bCs/>
          <w:i/>
          <w:iCs/>
        </w:rPr>
        <w:t>DEL HONORABLE CONGRESO DEL ESTADO DE OAXACA</w:t>
      </w:r>
    </w:p>
    <w:p w14:paraId="51933640" w14:textId="77777777" w:rsidR="00A3527F" w:rsidRPr="00835574" w:rsidRDefault="00A3527F" w:rsidP="00421E8E">
      <w:pPr>
        <w:pStyle w:val="Sinespaciado"/>
        <w:jc w:val="both"/>
      </w:pPr>
    </w:p>
    <w:p w14:paraId="17951755" w14:textId="6748DAB5" w:rsidR="00A3527F" w:rsidRPr="00835574" w:rsidRDefault="00A3527F" w:rsidP="00421E8E">
      <w:pPr>
        <w:pStyle w:val="Sinespaciado"/>
        <w:jc w:val="both"/>
        <w:rPr>
          <w:b/>
          <w:bCs/>
          <w:i/>
          <w:iCs/>
          <w:lang w:val="es-ES"/>
        </w:rPr>
      </w:pPr>
      <w:bookmarkStart w:id="3" w:name="_Hlk103856498"/>
      <w:r w:rsidRPr="00835574">
        <w:rPr>
          <w:b/>
          <w:bCs/>
          <w:i/>
          <w:iCs/>
          <w:lang w:val="es-ES"/>
        </w:rPr>
        <w:t>OBJETIVO</w:t>
      </w:r>
    </w:p>
    <w:p w14:paraId="70FB3050" w14:textId="77777777" w:rsidR="00CC1F78" w:rsidRPr="00835574" w:rsidRDefault="00CC1F78" w:rsidP="00421E8E">
      <w:pPr>
        <w:pStyle w:val="Sinespaciado"/>
        <w:jc w:val="both"/>
        <w:rPr>
          <w:b/>
          <w:bCs/>
          <w:i/>
          <w:iCs/>
          <w:lang w:val="es-ES"/>
        </w:rPr>
      </w:pPr>
    </w:p>
    <w:p w14:paraId="4DACE8CD" w14:textId="77777777" w:rsidR="00A3527F" w:rsidRPr="00835574" w:rsidRDefault="00A3527F" w:rsidP="00421E8E">
      <w:pPr>
        <w:pStyle w:val="Sinespaciado"/>
        <w:jc w:val="both"/>
        <w:rPr>
          <w:i/>
          <w:iCs/>
          <w:lang w:val="es-ES"/>
        </w:rPr>
      </w:pPr>
      <w:r w:rsidRPr="00835574">
        <w:rPr>
          <w:i/>
          <w:iCs/>
          <w:lang w:val="es-ES"/>
        </w:rPr>
        <w:t>Ejercer los recursos públicos de acuerdo a los principios de austeridad, planeación, eficiencia, eficacia, economía, calidad, impacto, sostenibilidad, transparencia y honradez con enfoque de resultados.</w:t>
      </w:r>
    </w:p>
    <w:p w14:paraId="7D6BE0E7" w14:textId="77777777" w:rsidR="00A3527F" w:rsidRPr="00835574" w:rsidRDefault="00A3527F" w:rsidP="00421E8E">
      <w:pPr>
        <w:pStyle w:val="Sinespaciado"/>
        <w:jc w:val="both"/>
        <w:rPr>
          <w:i/>
          <w:iCs/>
          <w:lang w:val="es-ES"/>
        </w:rPr>
      </w:pPr>
    </w:p>
    <w:p w14:paraId="2E9FF55B" w14:textId="4CDB9122" w:rsidR="00A3527F" w:rsidRPr="00835574" w:rsidRDefault="00A3527F" w:rsidP="00421E8E">
      <w:pPr>
        <w:pStyle w:val="Sinespaciado"/>
        <w:jc w:val="both"/>
        <w:rPr>
          <w:b/>
          <w:bCs/>
          <w:i/>
          <w:iCs/>
          <w:lang w:val="es-ES"/>
        </w:rPr>
      </w:pPr>
      <w:r w:rsidRPr="00835574">
        <w:rPr>
          <w:b/>
          <w:bCs/>
          <w:i/>
          <w:iCs/>
          <w:lang w:val="es-ES"/>
        </w:rPr>
        <w:t>ESTRATEGIAS</w:t>
      </w:r>
    </w:p>
    <w:p w14:paraId="1E5BAB55" w14:textId="77777777" w:rsidR="00374261" w:rsidRPr="00835574" w:rsidRDefault="00374261" w:rsidP="00421E8E">
      <w:pPr>
        <w:pStyle w:val="Sinespaciado"/>
        <w:jc w:val="both"/>
        <w:rPr>
          <w:b/>
          <w:bCs/>
          <w:i/>
          <w:iCs/>
          <w:lang w:val="es-ES"/>
        </w:rPr>
      </w:pPr>
    </w:p>
    <w:p w14:paraId="49946C37" w14:textId="77777777" w:rsidR="00A3527F" w:rsidRPr="00835574" w:rsidRDefault="00A3527F">
      <w:pPr>
        <w:pStyle w:val="Sinespaciado"/>
        <w:numPr>
          <w:ilvl w:val="0"/>
          <w:numId w:val="42"/>
        </w:numPr>
        <w:jc w:val="both"/>
        <w:rPr>
          <w:i/>
          <w:iCs/>
          <w:lang w:val="es-ES"/>
        </w:rPr>
      </w:pPr>
      <w:r w:rsidRPr="00835574">
        <w:rPr>
          <w:i/>
          <w:iCs/>
          <w:lang w:val="es-ES"/>
        </w:rPr>
        <w:t>Establecimiento, aplicación y actualización de la normatividad para el ejercicio del presupuesto de egresos, con base en las Leyes y Reglamentos vigentes.</w:t>
      </w:r>
    </w:p>
    <w:p w14:paraId="5E0850BF" w14:textId="77777777" w:rsidR="00A3527F" w:rsidRPr="00835574" w:rsidRDefault="00A3527F" w:rsidP="00421E8E">
      <w:pPr>
        <w:pStyle w:val="Sinespaciado"/>
        <w:jc w:val="both"/>
        <w:rPr>
          <w:i/>
          <w:iCs/>
          <w:lang w:val="es-ES"/>
        </w:rPr>
      </w:pPr>
    </w:p>
    <w:p w14:paraId="000E9644" w14:textId="77777777" w:rsidR="00A3527F" w:rsidRPr="00835574" w:rsidRDefault="00A3527F">
      <w:pPr>
        <w:pStyle w:val="Sinespaciado"/>
        <w:numPr>
          <w:ilvl w:val="0"/>
          <w:numId w:val="42"/>
        </w:numPr>
        <w:jc w:val="both"/>
        <w:rPr>
          <w:i/>
          <w:iCs/>
          <w:lang w:val="es-ES"/>
        </w:rPr>
      </w:pPr>
      <w:r w:rsidRPr="00835574">
        <w:rPr>
          <w:i/>
          <w:iCs/>
          <w:lang w:val="es-ES"/>
        </w:rPr>
        <w:t>Establecer políticas orientadas a la armonización, transparencia, racionalización, austeridad y control del gasto público aprobado para el Honorable Congreso del Estado, las cuales se sujetarán a lo establecido por la Ley Orgánica del Honorable Congreso del Estado Libre y Soberano de Oaxaca, así como su reglamento interior; Ley Estatal de Presupuesto y Responsabilidad Hacendaria, Ley de Responsabilidades Administrativas del Estado y Municipios de Oaxaca, Ley de Adquisiciones, Enajenaciones, Arrendamientos, Prestación de Servicios y Administración de Bienes Muebles e Inmuebles de Oaxaca.</w:t>
      </w:r>
    </w:p>
    <w:p w14:paraId="4AA7713D" w14:textId="77777777" w:rsidR="00A3527F" w:rsidRPr="00835574" w:rsidRDefault="00A3527F" w:rsidP="00421E8E">
      <w:pPr>
        <w:pStyle w:val="Sinespaciado"/>
        <w:jc w:val="both"/>
        <w:rPr>
          <w:i/>
          <w:iCs/>
          <w:lang w:val="es-ES"/>
        </w:rPr>
      </w:pPr>
    </w:p>
    <w:p w14:paraId="14B01665" w14:textId="232A7DFC" w:rsidR="00A3527F" w:rsidRPr="00835574" w:rsidRDefault="00A3527F" w:rsidP="00421E8E">
      <w:pPr>
        <w:pStyle w:val="Sinespaciado"/>
        <w:jc w:val="both"/>
        <w:rPr>
          <w:b/>
          <w:bCs/>
          <w:i/>
          <w:iCs/>
          <w:lang w:val="es-ES"/>
        </w:rPr>
      </w:pPr>
      <w:r w:rsidRPr="00835574">
        <w:rPr>
          <w:b/>
          <w:bCs/>
          <w:i/>
          <w:iCs/>
          <w:lang w:val="es-ES"/>
        </w:rPr>
        <w:t>POLÍTICAS</w:t>
      </w:r>
    </w:p>
    <w:p w14:paraId="302FDF6D" w14:textId="77777777" w:rsidR="00472C84" w:rsidRPr="00835574" w:rsidRDefault="00472C84" w:rsidP="00421E8E">
      <w:pPr>
        <w:pStyle w:val="Sinespaciado"/>
        <w:jc w:val="both"/>
        <w:rPr>
          <w:b/>
          <w:bCs/>
          <w:i/>
          <w:iCs/>
          <w:lang w:val="es-ES"/>
        </w:rPr>
      </w:pPr>
    </w:p>
    <w:p w14:paraId="4257CAA7" w14:textId="77777777" w:rsidR="00A3527F" w:rsidRPr="00835574" w:rsidRDefault="00A3527F">
      <w:pPr>
        <w:pStyle w:val="Sinespaciado"/>
        <w:numPr>
          <w:ilvl w:val="0"/>
          <w:numId w:val="43"/>
        </w:numPr>
        <w:jc w:val="both"/>
        <w:rPr>
          <w:b/>
          <w:bCs/>
          <w:i/>
          <w:iCs/>
          <w:lang w:val="es-ES"/>
        </w:rPr>
      </w:pPr>
      <w:r w:rsidRPr="00835574">
        <w:rPr>
          <w:i/>
          <w:iCs/>
          <w:lang w:val="es-ES"/>
        </w:rPr>
        <w:t>Todos los servidores públicos que, en el ámbito de su competencia, manejen, dispongan, asignen o autoricen recursos financieros, humanos o materiales, serán responsables de que el ejercicio de los recursos públicos se realice con base en criterios de legalidad, eficiencia, eficacia, economía, transparencia, honradez, racionalidad, austeridad, control, rendición de cuentas y equidad de género, a fin de lograr los objetivos para los que fueron destinados. Así mismo, serán responsables del contenido, veracidad, destino y resguardo de la documentación justificativa y comprobatoria del gasto, de la información financiera que derive del ejercicio de los recursos públicos y toda aquella que se proporcione a los órganos de control y de fiscalización ya sea estatales como federales.</w:t>
      </w:r>
    </w:p>
    <w:p w14:paraId="3D0637B8" w14:textId="77777777" w:rsidR="00A3527F" w:rsidRPr="00835574" w:rsidRDefault="00A3527F" w:rsidP="00421E8E">
      <w:pPr>
        <w:pStyle w:val="Sinespaciado"/>
        <w:jc w:val="both"/>
        <w:rPr>
          <w:b/>
          <w:bCs/>
          <w:i/>
          <w:iCs/>
          <w:lang w:val="es-ES"/>
        </w:rPr>
      </w:pPr>
    </w:p>
    <w:p w14:paraId="32945986" w14:textId="77777777" w:rsidR="00A3527F" w:rsidRPr="00835574" w:rsidRDefault="00A3527F">
      <w:pPr>
        <w:pStyle w:val="Sinespaciado"/>
        <w:numPr>
          <w:ilvl w:val="0"/>
          <w:numId w:val="43"/>
        </w:numPr>
        <w:jc w:val="both"/>
        <w:rPr>
          <w:b/>
          <w:bCs/>
          <w:i/>
          <w:iCs/>
          <w:lang w:val="es-ES"/>
        </w:rPr>
      </w:pPr>
      <w:r w:rsidRPr="00835574">
        <w:rPr>
          <w:bCs/>
          <w:i/>
          <w:iCs/>
          <w:lang w:val="es-ES"/>
        </w:rPr>
        <w:t>En el rubro de servicios personales, no se autorizará la creación de nuevas plazas. Las solicitudes de incremento de personal que se consideren estrictamente indispensables para atender las necesidades del Honorable Congreso, deberán someterse al análisis, evaluación y autorización de la Junta de Coordinación Política en estricto cumplimiento a las Leyes en la materia.</w:t>
      </w:r>
    </w:p>
    <w:p w14:paraId="003B2EB1" w14:textId="77777777" w:rsidR="00A3527F" w:rsidRPr="00835574" w:rsidRDefault="00A3527F" w:rsidP="00421E8E">
      <w:pPr>
        <w:pStyle w:val="Sinespaciado"/>
        <w:jc w:val="both"/>
        <w:rPr>
          <w:b/>
          <w:bCs/>
          <w:i/>
          <w:iCs/>
          <w:lang w:val="es-ES"/>
        </w:rPr>
      </w:pPr>
    </w:p>
    <w:p w14:paraId="797AFAF0" w14:textId="77777777" w:rsidR="00A3527F" w:rsidRPr="00835574" w:rsidRDefault="00A3527F">
      <w:pPr>
        <w:pStyle w:val="Sinespaciado"/>
        <w:numPr>
          <w:ilvl w:val="0"/>
          <w:numId w:val="43"/>
        </w:numPr>
        <w:jc w:val="both"/>
        <w:rPr>
          <w:b/>
          <w:bCs/>
          <w:i/>
          <w:iCs/>
          <w:lang w:val="es-ES"/>
        </w:rPr>
      </w:pPr>
      <w:r w:rsidRPr="00835574">
        <w:rPr>
          <w:bCs/>
          <w:i/>
          <w:iCs/>
          <w:lang w:val="es-ES"/>
        </w:rPr>
        <w:t>A toda propuesta de aumento o creación de estructuras orgánicas, le corresponderá una reducción en otras partidas presupuestarias por parte de las diferentes áreas del Honorable Congreso del Estado.</w:t>
      </w:r>
    </w:p>
    <w:p w14:paraId="7DF9C3B1" w14:textId="77777777" w:rsidR="00A3527F" w:rsidRPr="00835574" w:rsidRDefault="00A3527F" w:rsidP="00421E8E">
      <w:pPr>
        <w:pStyle w:val="Sinespaciado"/>
        <w:jc w:val="both"/>
        <w:rPr>
          <w:b/>
          <w:bCs/>
          <w:i/>
          <w:iCs/>
          <w:lang w:val="es-ES"/>
        </w:rPr>
      </w:pPr>
    </w:p>
    <w:p w14:paraId="71D56B4A" w14:textId="77777777" w:rsidR="00A3527F" w:rsidRPr="00835574" w:rsidRDefault="00A3527F">
      <w:pPr>
        <w:pStyle w:val="Sinespaciado"/>
        <w:numPr>
          <w:ilvl w:val="0"/>
          <w:numId w:val="43"/>
        </w:numPr>
        <w:jc w:val="both"/>
        <w:rPr>
          <w:b/>
          <w:bCs/>
          <w:i/>
          <w:iCs/>
          <w:lang w:val="es-ES"/>
        </w:rPr>
      </w:pPr>
      <w:r w:rsidRPr="00835574">
        <w:rPr>
          <w:bCs/>
          <w:i/>
          <w:iCs/>
          <w:lang w:val="es-ES"/>
        </w:rPr>
        <w:t>En la ejecución de cualquier tipo de erogaciones con cargo al presupuesto autorizado al Honorable Congreso del Estado, las áreas respectivas deberán sujetarse a la normatividad para el ejercicio del presupuesto vigente, así como al catálogo de partidas presupuestarias vigente, al saldo mensual disponible en la partida presupuestaria correspondiente, a las condiciones especiales que pudiesen presentarse en materia de salud, fiscal y/o presupuestal y a los rangos autorizados.</w:t>
      </w:r>
    </w:p>
    <w:p w14:paraId="2381D7D1" w14:textId="77777777" w:rsidR="00A3527F" w:rsidRPr="00835574" w:rsidRDefault="00A3527F" w:rsidP="00421E8E">
      <w:pPr>
        <w:pStyle w:val="Sinespaciado"/>
        <w:jc w:val="both"/>
        <w:rPr>
          <w:b/>
          <w:bCs/>
          <w:i/>
          <w:iCs/>
          <w:lang w:val="es-ES"/>
        </w:rPr>
      </w:pPr>
    </w:p>
    <w:p w14:paraId="47412FFD" w14:textId="77777777" w:rsidR="00A3527F" w:rsidRPr="00835574" w:rsidRDefault="00A3527F">
      <w:pPr>
        <w:pStyle w:val="Sinespaciado"/>
        <w:numPr>
          <w:ilvl w:val="0"/>
          <w:numId w:val="43"/>
        </w:numPr>
        <w:jc w:val="both"/>
        <w:rPr>
          <w:b/>
          <w:bCs/>
          <w:i/>
          <w:iCs/>
          <w:lang w:val="es-ES"/>
        </w:rPr>
      </w:pPr>
      <w:r w:rsidRPr="00835574">
        <w:rPr>
          <w:bCs/>
          <w:i/>
          <w:iCs/>
          <w:lang w:val="es-ES"/>
        </w:rPr>
        <w:lastRenderedPageBreak/>
        <w:t>Todas las áreas del Honorable Congreso deberán revisar las existencias de materiales con el objeto de solicitar únicamente lo indispensable para el desarrollo de sus actividades, evitando el mal uso y desperdicio del material proporcionado. Con el objetivo de hacer más eficiente el manejo de recursos autorizados en la partida de materiales y suministros, se establece que se reduzca al máximo el suministro de los artículos con un costo elevado y que no sean indispensables.</w:t>
      </w:r>
    </w:p>
    <w:p w14:paraId="2ADAC631" w14:textId="77777777" w:rsidR="00A3527F" w:rsidRPr="00835574" w:rsidRDefault="00A3527F" w:rsidP="00421E8E">
      <w:pPr>
        <w:pStyle w:val="Sinespaciado"/>
        <w:jc w:val="both"/>
        <w:rPr>
          <w:b/>
          <w:bCs/>
          <w:i/>
          <w:iCs/>
          <w:lang w:val="es-ES"/>
        </w:rPr>
      </w:pPr>
    </w:p>
    <w:p w14:paraId="25F21201" w14:textId="77777777" w:rsidR="00A3527F" w:rsidRPr="00835574" w:rsidRDefault="00A3527F">
      <w:pPr>
        <w:pStyle w:val="Sinespaciado"/>
        <w:numPr>
          <w:ilvl w:val="0"/>
          <w:numId w:val="43"/>
        </w:numPr>
        <w:jc w:val="both"/>
        <w:rPr>
          <w:b/>
          <w:bCs/>
          <w:i/>
          <w:iCs/>
          <w:lang w:val="es-ES"/>
        </w:rPr>
      </w:pPr>
      <w:r w:rsidRPr="00835574">
        <w:rPr>
          <w:bCs/>
          <w:i/>
          <w:iCs/>
          <w:lang w:val="es-ES"/>
        </w:rPr>
        <w:t>Para el caso de los servicios generales, será responsabilidad de todos los servidores públicos, en el ámbito de sus funciones, que, en el ejercicio de los recursos destinados a este rubro, se apeguen estrictamente a sus necesidades, cumpliendo con lo establecido en las disposiciones legales aplicables, a los planes, proyectos, objetivos y metas aprobadas.</w:t>
      </w:r>
    </w:p>
    <w:p w14:paraId="4B98308A" w14:textId="77777777" w:rsidR="00A3527F" w:rsidRPr="00835574" w:rsidRDefault="00A3527F" w:rsidP="00421E8E">
      <w:pPr>
        <w:pStyle w:val="Sinespaciado"/>
        <w:jc w:val="both"/>
        <w:rPr>
          <w:b/>
          <w:bCs/>
          <w:i/>
          <w:iCs/>
          <w:lang w:val="es-ES"/>
        </w:rPr>
      </w:pPr>
    </w:p>
    <w:p w14:paraId="288AF4E7" w14:textId="379B18E3" w:rsidR="00A3527F" w:rsidRPr="00835574" w:rsidRDefault="00A3527F" w:rsidP="00421E8E">
      <w:pPr>
        <w:pStyle w:val="Sinespaciado"/>
        <w:jc w:val="both"/>
        <w:rPr>
          <w:b/>
          <w:bCs/>
          <w:i/>
          <w:iCs/>
          <w:lang w:val="es-ES"/>
        </w:rPr>
      </w:pPr>
      <w:r w:rsidRPr="00835574">
        <w:rPr>
          <w:b/>
          <w:bCs/>
          <w:i/>
          <w:iCs/>
          <w:lang w:val="es-ES"/>
        </w:rPr>
        <w:t>METAS</w:t>
      </w:r>
    </w:p>
    <w:p w14:paraId="54169075" w14:textId="77777777" w:rsidR="00472C84" w:rsidRPr="00835574" w:rsidRDefault="00472C84" w:rsidP="00421E8E">
      <w:pPr>
        <w:pStyle w:val="Sinespaciado"/>
        <w:jc w:val="both"/>
        <w:rPr>
          <w:b/>
          <w:bCs/>
          <w:i/>
          <w:iCs/>
          <w:lang w:val="es-ES"/>
        </w:rPr>
      </w:pPr>
    </w:p>
    <w:p w14:paraId="75E2026E" w14:textId="77777777" w:rsidR="00A3527F" w:rsidRPr="00835574" w:rsidRDefault="00A3527F">
      <w:pPr>
        <w:pStyle w:val="Sinespaciado"/>
        <w:numPr>
          <w:ilvl w:val="0"/>
          <w:numId w:val="44"/>
        </w:numPr>
        <w:jc w:val="both"/>
        <w:rPr>
          <w:b/>
          <w:bCs/>
          <w:i/>
          <w:iCs/>
          <w:lang w:val="es-ES"/>
        </w:rPr>
      </w:pPr>
      <w:r w:rsidRPr="00835574">
        <w:rPr>
          <w:bCs/>
          <w:i/>
          <w:iCs/>
          <w:lang w:val="es-ES"/>
        </w:rPr>
        <w:t>Cumplir de manera eficaz y eficiente, con los objetivos institucionales establecidos, mediante la optimización de los recursos humanos, materiales y financieros del Honorable Congreso del Estado.</w:t>
      </w:r>
    </w:p>
    <w:p w14:paraId="7A841EDB" w14:textId="77777777" w:rsidR="00A3527F" w:rsidRPr="00835574" w:rsidRDefault="00A3527F" w:rsidP="00421E8E">
      <w:pPr>
        <w:pStyle w:val="Sinespaciado"/>
        <w:jc w:val="both"/>
        <w:rPr>
          <w:b/>
          <w:bCs/>
          <w:i/>
          <w:iCs/>
          <w:lang w:val="es-ES"/>
        </w:rPr>
      </w:pPr>
    </w:p>
    <w:p w14:paraId="39A0C327" w14:textId="77777777" w:rsidR="00A3527F" w:rsidRPr="00835574" w:rsidRDefault="00A3527F">
      <w:pPr>
        <w:pStyle w:val="Sinespaciado"/>
        <w:numPr>
          <w:ilvl w:val="0"/>
          <w:numId w:val="44"/>
        </w:numPr>
        <w:jc w:val="both"/>
        <w:rPr>
          <w:b/>
          <w:bCs/>
          <w:i/>
          <w:iCs/>
          <w:lang w:val="es-ES"/>
        </w:rPr>
      </w:pPr>
      <w:r w:rsidRPr="00835574">
        <w:rPr>
          <w:bCs/>
          <w:i/>
          <w:iCs/>
          <w:lang w:val="es-ES"/>
        </w:rPr>
        <w:t>Realizar un ejercicio del gasto de manera austera, racional, objetiva, imparcial, apegado a la legalidad, transparencia y rendición de cuentas, de todos los recursos asignados al Honorable Congreso del Estado.</w:t>
      </w:r>
    </w:p>
    <w:bookmarkEnd w:id="3"/>
    <w:p w14:paraId="676B71ED" w14:textId="77777777" w:rsidR="00A3527F" w:rsidRPr="00835574" w:rsidRDefault="00A3527F" w:rsidP="00421E8E">
      <w:pPr>
        <w:pStyle w:val="Sinespaciado"/>
        <w:jc w:val="both"/>
        <w:rPr>
          <w:i/>
          <w:iCs/>
        </w:rPr>
      </w:pPr>
    </w:p>
    <w:p w14:paraId="03303320" w14:textId="0606341D" w:rsidR="00A3527F" w:rsidRPr="00835574" w:rsidRDefault="008420EF">
      <w:pPr>
        <w:pStyle w:val="Sinespaciado"/>
        <w:numPr>
          <w:ilvl w:val="0"/>
          <w:numId w:val="4"/>
        </w:numPr>
        <w:jc w:val="both"/>
        <w:rPr>
          <w:b/>
          <w:bCs/>
          <w:i/>
          <w:iCs/>
        </w:rPr>
      </w:pPr>
      <w:r w:rsidRPr="00835574">
        <w:rPr>
          <w:b/>
          <w:bCs/>
          <w:i/>
          <w:iCs/>
        </w:rPr>
        <w:t>DEL ÓRGANO SUPERIOR DE FISCALIZACIÓN DEL ESTADO DE OAXACA</w:t>
      </w:r>
    </w:p>
    <w:p w14:paraId="7808D5FD" w14:textId="77777777" w:rsidR="008420EF" w:rsidRPr="00835574" w:rsidRDefault="008420EF" w:rsidP="008420EF">
      <w:pPr>
        <w:pStyle w:val="Sinespaciado"/>
        <w:ind w:left="720"/>
        <w:jc w:val="both"/>
        <w:rPr>
          <w:b/>
          <w:bCs/>
          <w:i/>
          <w:iCs/>
        </w:rPr>
      </w:pPr>
    </w:p>
    <w:p w14:paraId="6B25FA2F" w14:textId="77777777" w:rsidR="00A3527F" w:rsidRPr="00835574" w:rsidRDefault="00A3527F" w:rsidP="00421E8E">
      <w:pPr>
        <w:pStyle w:val="Sinespaciado"/>
        <w:jc w:val="both"/>
        <w:rPr>
          <w:i/>
          <w:iCs/>
        </w:rPr>
      </w:pPr>
      <w:r w:rsidRPr="00835574">
        <w:rPr>
          <w:i/>
          <w:iCs/>
        </w:rPr>
        <w:t>Con fundamento en lo dispuesto en la Constitución Política del Estado Libre y Soberano de Oaxaca en su artículo 65 BIS, el Órgano Superior de Fiscalización del Estado de Oaxaca (OSFE) es el órgano técnico del Congreso que tiene a su cargo la revisión y fiscalización de la Cuenta Pública y gestión financiera de los Poderes del Estado y Municipios, entes públicos estatales y municipales, organismos públicos autónomos que ejerzan recursos públicos y en general, cualquier entidad, persona física o moral, pública o privada que haya recaudado, administrado, manejado o ejercido recursos públicos estatales o municipales.</w:t>
      </w:r>
    </w:p>
    <w:p w14:paraId="2AFBD9AF" w14:textId="77777777" w:rsidR="00A3527F" w:rsidRPr="00835574" w:rsidRDefault="00A3527F" w:rsidP="00421E8E">
      <w:pPr>
        <w:pStyle w:val="Sinespaciado"/>
        <w:jc w:val="both"/>
        <w:rPr>
          <w:i/>
          <w:iCs/>
        </w:rPr>
      </w:pPr>
    </w:p>
    <w:p w14:paraId="1ADADBAE" w14:textId="77777777" w:rsidR="00A3527F" w:rsidRPr="00835574" w:rsidRDefault="00A3527F" w:rsidP="00421E8E">
      <w:pPr>
        <w:pStyle w:val="Sinespaciado"/>
        <w:jc w:val="both"/>
        <w:rPr>
          <w:i/>
          <w:iCs/>
        </w:rPr>
      </w:pPr>
      <w:r w:rsidRPr="00835574">
        <w:rPr>
          <w:i/>
          <w:iCs/>
        </w:rPr>
        <w:t>En su párrafo segundo, establece que como atributo del OSFE, cuenta con autonomía presupuestal, para decidir sobre la administración de los recursos que se le autoricen, así como su organización interna, estructural y de funcionamiento; en congruencia con sus facultades y necesidades institucionales para el ejercicio de la fiscalización estatal conforme a los principios de legalidad, definitividad, imparcialidad y confiabilidad.</w:t>
      </w:r>
    </w:p>
    <w:p w14:paraId="592A522A" w14:textId="77777777" w:rsidR="00A3527F" w:rsidRPr="00835574" w:rsidRDefault="00A3527F" w:rsidP="00421E8E">
      <w:pPr>
        <w:pStyle w:val="Sinespaciado"/>
        <w:jc w:val="both"/>
        <w:rPr>
          <w:i/>
          <w:iCs/>
        </w:rPr>
      </w:pPr>
    </w:p>
    <w:p w14:paraId="580A989D" w14:textId="77777777" w:rsidR="005E631A" w:rsidRDefault="00A3527F" w:rsidP="00421E8E">
      <w:pPr>
        <w:pStyle w:val="Sinespaciado"/>
        <w:jc w:val="both"/>
        <w:rPr>
          <w:i/>
          <w:iCs/>
        </w:rPr>
      </w:pPr>
      <w:r w:rsidRPr="00835574">
        <w:rPr>
          <w:i/>
          <w:iCs/>
        </w:rPr>
        <w:t xml:space="preserve">En relación a la Ley de Fiscalización Superior y Rendición de </w:t>
      </w:r>
      <w:r w:rsidR="00117244" w:rsidRPr="00835574">
        <w:rPr>
          <w:i/>
          <w:iCs/>
        </w:rPr>
        <w:t>C</w:t>
      </w:r>
      <w:r w:rsidRPr="00835574">
        <w:rPr>
          <w:i/>
          <w:iCs/>
        </w:rPr>
        <w:t>uentas para el Estado</w:t>
      </w:r>
      <w:r w:rsidR="005830F4" w:rsidRPr="00835574">
        <w:rPr>
          <w:i/>
          <w:iCs/>
        </w:rPr>
        <w:t>,</w:t>
      </w:r>
      <w:r w:rsidRPr="00835574">
        <w:rPr>
          <w:i/>
          <w:iCs/>
        </w:rPr>
        <w:t xml:space="preserve"> el OSFE revisa y fiscaliza la Cuenta Pública de las entidades fiscalizables y su gestión financiera; así como las </w:t>
      </w:r>
      <w:r w:rsidRPr="00835574">
        <w:rPr>
          <w:i/>
          <w:iCs/>
        </w:rPr>
        <w:lastRenderedPageBreak/>
        <w:t>situaciones irregulares que se denuncien en términos de la Ley, respecto al ejercicio fiscal en curso o a ejercicios anteriores distintos al de la Cuenta Pública en revisión.</w:t>
      </w:r>
    </w:p>
    <w:p w14:paraId="6BFFAE81" w14:textId="3F41BD5E" w:rsidR="00A3527F" w:rsidRPr="00835574" w:rsidRDefault="00A3527F" w:rsidP="00421E8E">
      <w:pPr>
        <w:pStyle w:val="Sinespaciado"/>
        <w:jc w:val="both"/>
        <w:rPr>
          <w:i/>
          <w:iCs/>
        </w:rPr>
      </w:pPr>
      <w:r w:rsidRPr="00835574">
        <w:rPr>
          <w:i/>
          <w:iCs/>
        </w:rPr>
        <w:t>Bajo este mismo ordenamiento y en atención al proyecto que presentamos en este documento, el artículo 82 en su fracción II, le atribuye del OSFE elaborar su proyecto de presupuesto anual atendiendo a las previsiones del ingreso y del gasto público estatal y las disposiciones aplicables.</w:t>
      </w:r>
    </w:p>
    <w:p w14:paraId="4AD6890B" w14:textId="77777777" w:rsidR="00A3527F" w:rsidRPr="00835574" w:rsidRDefault="00A3527F" w:rsidP="00421E8E">
      <w:pPr>
        <w:pStyle w:val="Sinespaciado"/>
        <w:jc w:val="both"/>
        <w:rPr>
          <w:i/>
          <w:iCs/>
        </w:rPr>
      </w:pPr>
    </w:p>
    <w:p w14:paraId="23544057" w14:textId="77777777" w:rsidR="00A3527F" w:rsidRPr="00835574" w:rsidRDefault="00A3527F" w:rsidP="00421E8E">
      <w:pPr>
        <w:pStyle w:val="Sinespaciado"/>
        <w:jc w:val="both"/>
        <w:rPr>
          <w:b/>
          <w:i/>
          <w:iCs/>
        </w:rPr>
      </w:pPr>
      <w:r w:rsidRPr="00835574">
        <w:rPr>
          <w:b/>
          <w:i/>
          <w:iCs/>
        </w:rPr>
        <w:t>MISIÓN</w:t>
      </w:r>
    </w:p>
    <w:p w14:paraId="72351F2C" w14:textId="77777777" w:rsidR="00A3527F" w:rsidRPr="00835574" w:rsidRDefault="00A3527F" w:rsidP="00421E8E">
      <w:pPr>
        <w:pStyle w:val="Sinespaciado"/>
        <w:jc w:val="both"/>
        <w:rPr>
          <w:b/>
          <w:i/>
          <w:iCs/>
        </w:rPr>
      </w:pPr>
    </w:p>
    <w:p w14:paraId="7AF9C574" w14:textId="77777777" w:rsidR="00A3527F" w:rsidRPr="00835574" w:rsidRDefault="00A3527F" w:rsidP="00421E8E">
      <w:pPr>
        <w:pStyle w:val="Sinespaciado"/>
        <w:jc w:val="both"/>
        <w:rPr>
          <w:i/>
          <w:iCs/>
        </w:rPr>
      </w:pPr>
      <w:r w:rsidRPr="00835574">
        <w:rPr>
          <w:i/>
          <w:iCs/>
        </w:rPr>
        <w:t>Ser garante de la transparencia y rendición de cuentas, en estricto apego al marco jurídico aplicable, en beneficio de la sociedad oaxaqueña.</w:t>
      </w:r>
    </w:p>
    <w:p w14:paraId="5B18F7B0" w14:textId="77777777" w:rsidR="00A3527F" w:rsidRPr="00835574" w:rsidRDefault="00A3527F" w:rsidP="00421E8E">
      <w:pPr>
        <w:pStyle w:val="Sinespaciado"/>
        <w:jc w:val="both"/>
        <w:rPr>
          <w:i/>
          <w:iCs/>
        </w:rPr>
      </w:pPr>
    </w:p>
    <w:p w14:paraId="0AB27280" w14:textId="01572C30" w:rsidR="00A3527F" w:rsidRPr="00835574" w:rsidRDefault="00A3527F" w:rsidP="00421E8E">
      <w:pPr>
        <w:pStyle w:val="Sinespaciado"/>
        <w:jc w:val="both"/>
        <w:rPr>
          <w:b/>
          <w:i/>
          <w:iCs/>
        </w:rPr>
      </w:pPr>
      <w:r w:rsidRPr="00835574">
        <w:rPr>
          <w:b/>
          <w:i/>
          <w:iCs/>
        </w:rPr>
        <w:t>VISIÓN</w:t>
      </w:r>
    </w:p>
    <w:p w14:paraId="0846D06F" w14:textId="77777777" w:rsidR="00374261" w:rsidRPr="00835574" w:rsidRDefault="00374261" w:rsidP="00421E8E">
      <w:pPr>
        <w:pStyle w:val="Sinespaciado"/>
        <w:jc w:val="both"/>
        <w:rPr>
          <w:b/>
          <w:i/>
          <w:iCs/>
        </w:rPr>
      </w:pPr>
    </w:p>
    <w:p w14:paraId="7ADF51F7" w14:textId="77777777" w:rsidR="00A3527F" w:rsidRPr="00835574" w:rsidRDefault="00A3527F" w:rsidP="00421E8E">
      <w:pPr>
        <w:pStyle w:val="Sinespaciado"/>
        <w:jc w:val="both"/>
        <w:rPr>
          <w:i/>
          <w:iCs/>
        </w:rPr>
      </w:pPr>
      <w:r w:rsidRPr="00835574">
        <w:rPr>
          <w:i/>
          <w:iCs/>
        </w:rPr>
        <w:t>Crear dentro de un ambiente de control, la adecuada aplicación del gasto público con eficiencia, eficacia, economía y honradez para el logro de metas y objetivos.</w:t>
      </w:r>
    </w:p>
    <w:p w14:paraId="31C5DD91" w14:textId="77777777" w:rsidR="00A3527F" w:rsidRPr="00835574" w:rsidRDefault="00A3527F" w:rsidP="00421E8E">
      <w:pPr>
        <w:pStyle w:val="Sinespaciado"/>
        <w:jc w:val="both"/>
        <w:rPr>
          <w:i/>
          <w:iCs/>
        </w:rPr>
      </w:pPr>
    </w:p>
    <w:p w14:paraId="0ED1D773" w14:textId="5B3D525D" w:rsidR="00A3527F" w:rsidRPr="00835574" w:rsidRDefault="00A3527F" w:rsidP="00421E8E">
      <w:pPr>
        <w:pStyle w:val="Sinespaciado"/>
        <w:jc w:val="both"/>
        <w:rPr>
          <w:b/>
          <w:i/>
          <w:iCs/>
        </w:rPr>
      </w:pPr>
      <w:r w:rsidRPr="00835574">
        <w:rPr>
          <w:i/>
          <w:iCs/>
        </w:rPr>
        <w:t xml:space="preserve">En cumplimiento a lo dispuesto en el artículo 5, fracción I, de la Ley de Disciplina Financiera de las Entidades Federativas y los Municipios, a continuación, se señalan los objetivos, estrategias y metas del gasto </w:t>
      </w:r>
      <w:r w:rsidR="00535C5D" w:rsidRPr="00835574">
        <w:rPr>
          <w:i/>
          <w:iCs/>
        </w:rPr>
        <w:t>d</w:t>
      </w:r>
      <w:r w:rsidRPr="00835574">
        <w:rPr>
          <w:i/>
          <w:iCs/>
        </w:rPr>
        <w:t>el OSFE para el ejercicio fiscal 2023.</w:t>
      </w:r>
    </w:p>
    <w:p w14:paraId="23430D1A" w14:textId="77777777" w:rsidR="00A3527F" w:rsidRPr="00835574" w:rsidRDefault="00A3527F" w:rsidP="00421E8E">
      <w:pPr>
        <w:pStyle w:val="Sinespaciado"/>
        <w:jc w:val="both"/>
        <w:rPr>
          <w:b/>
          <w:i/>
          <w:iCs/>
        </w:rPr>
      </w:pPr>
    </w:p>
    <w:p w14:paraId="5E5A6C5F" w14:textId="00B0CA19" w:rsidR="00A3527F" w:rsidRPr="00835574" w:rsidRDefault="00A3527F" w:rsidP="00421E8E">
      <w:pPr>
        <w:pStyle w:val="Sinespaciado"/>
        <w:jc w:val="both"/>
        <w:rPr>
          <w:b/>
          <w:i/>
          <w:iCs/>
        </w:rPr>
      </w:pPr>
      <w:r w:rsidRPr="00835574">
        <w:rPr>
          <w:b/>
          <w:i/>
          <w:iCs/>
        </w:rPr>
        <w:t>OBJETIVOS ESTRATÉGICOS ANUALES</w:t>
      </w:r>
    </w:p>
    <w:p w14:paraId="1945E2A6" w14:textId="77777777" w:rsidR="00472C84" w:rsidRPr="00835574" w:rsidRDefault="00472C84" w:rsidP="00421E8E">
      <w:pPr>
        <w:pStyle w:val="Sinespaciado"/>
        <w:jc w:val="both"/>
        <w:rPr>
          <w:i/>
          <w:iCs/>
        </w:rPr>
      </w:pPr>
    </w:p>
    <w:p w14:paraId="63661E93" w14:textId="77777777" w:rsidR="00A3527F" w:rsidRPr="00835574" w:rsidRDefault="00A3527F" w:rsidP="00421E8E">
      <w:pPr>
        <w:pStyle w:val="Sinespaciado"/>
        <w:jc w:val="both"/>
        <w:rPr>
          <w:i/>
          <w:iCs/>
          <w:u w:val="single"/>
        </w:rPr>
      </w:pPr>
      <w:r w:rsidRPr="00835574">
        <w:rPr>
          <w:i/>
          <w:iCs/>
          <w:u w:val="single"/>
        </w:rPr>
        <w:t>OBJETIVO GENERAL</w:t>
      </w:r>
    </w:p>
    <w:p w14:paraId="5FAFCCC9" w14:textId="77777777" w:rsidR="00A3527F" w:rsidRPr="00835574" w:rsidRDefault="00A3527F" w:rsidP="00421E8E">
      <w:pPr>
        <w:pStyle w:val="Sinespaciado"/>
        <w:jc w:val="both"/>
        <w:rPr>
          <w:i/>
          <w:iCs/>
        </w:rPr>
      </w:pPr>
    </w:p>
    <w:p w14:paraId="76501D9F" w14:textId="1E88613C" w:rsidR="00A3527F" w:rsidRPr="00835574" w:rsidRDefault="008420EF" w:rsidP="00421E8E">
      <w:pPr>
        <w:pStyle w:val="Sinespaciado"/>
        <w:jc w:val="both"/>
        <w:rPr>
          <w:b/>
          <w:i/>
          <w:iCs/>
        </w:rPr>
      </w:pPr>
      <w:r w:rsidRPr="00835574">
        <w:rPr>
          <w:i/>
          <w:iCs/>
        </w:rPr>
        <w:t>Revisar</w:t>
      </w:r>
      <w:r w:rsidRPr="00835574">
        <w:rPr>
          <w:b/>
          <w:i/>
          <w:iCs/>
        </w:rPr>
        <w:t xml:space="preserve"> </w:t>
      </w:r>
      <w:r w:rsidR="00A3527F" w:rsidRPr="00835574">
        <w:rPr>
          <w:i/>
          <w:iCs/>
        </w:rPr>
        <w:t>y analizar los Informes de Avance de Gestión Financiera, así como fiscalizar las Cuentas Públicas de los Poderes del Estado y Municipios, y en general, cualquier entidad, persona física o moral, pública o privada que haya recaudado, administrado, manejado o ejercido recursos públicos estatales o municipales, a fin de impulsar su correcta aplicación y apego a la normatividad vigente, fomentando así una cultura de legalidad, transparencia y rendición de cuentas.</w:t>
      </w:r>
    </w:p>
    <w:p w14:paraId="7A8D5E76" w14:textId="77777777" w:rsidR="00A3527F" w:rsidRPr="00835574" w:rsidRDefault="00A3527F" w:rsidP="00421E8E">
      <w:pPr>
        <w:pStyle w:val="Sinespaciado"/>
        <w:jc w:val="both"/>
        <w:rPr>
          <w:i/>
          <w:iCs/>
        </w:rPr>
      </w:pPr>
    </w:p>
    <w:p w14:paraId="1C6DBEE5" w14:textId="77777777" w:rsidR="00A3527F" w:rsidRPr="00835574" w:rsidRDefault="00A3527F" w:rsidP="00421E8E">
      <w:pPr>
        <w:pStyle w:val="Sinespaciado"/>
        <w:jc w:val="both"/>
        <w:rPr>
          <w:i/>
          <w:iCs/>
        </w:rPr>
      </w:pPr>
      <w:r w:rsidRPr="00835574">
        <w:rPr>
          <w:i/>
          <w:iCs/>
        </w:rPr>
        <w:t>OBJETIVOS DEL PLAN ESTRATÉGICO DEL ÓRGANO SUPERIOR DE FISCALIZACIÓN DEL ESTADO DE OAXACA 2018-2024</w:t>
      </w:r>
    </w:p>
    <w:p w14:paraId="39410B91" w14:textId="77777777" w:rsidR="00A3527F" w:rsidRPr="00835574" w:rsidRDefault="00A3527F" w:rsidP="00421E8E">
      <w:pPr>
        <w:pStyle w:val="Sinespaciado"/>
        <w:jc w:val="both"/>
        <w:rPr>
          <w:i/>
          <w:iCs/>
        </w:rPr>
      </w:pPr>
    </w:p>
    <w:p w14:paraId="0F65923F" w14:textId="77777777" w:rsidR="00A3527F" w:rsidRPr="00835574" w:rsidRDefault="00A3527F" w:rsidP="00421E8E">
      <w:pPr>
        <w:pStyle w:val="Sinespaciado"/>
        <w:jc w:val="both"/>
        <w:rPr>
          <w:i/>
          <w:iCs/>
          <w:u w:val="single"/>
        </w:rPr>
      </w:pPr>
      <w:r w:rsidRPr="00835574">
        <w:rPr>
          <w:i/>
          <w:iCs/>
          <w:u w:val="single"/>
        </w:rPr>
        <w:t>Eje: Desarrollo Institucional.</w:t>
      </w:r>
    </w:p>
    <w:p w14:paraId="46A822D3" w14:textId="77777777" w:rsidR="00A3527F" w:rsidRPr="00835574" w:rsidRDefault="00A3527F" w:rsidP="00421E8E">
      <w:pPr>
        <w:pStyle w:val="Sinespaciado"/>
        <w:jc w:val="both"/>
        <w:rPr>
          <w:i/>
          <w:iCs/>
        </w:rPr>
      </w:pPr>
    </w:p>
    <w:p w14:paraId="3B4CCB60" w14:textId="77777777" w:rsidR="00A3527F" w:rsidRPr="00835574" w:rsidRDefault="00A3527F" w:rsidP="00421E8E">
      <w:pPr>
        <w:pStyle w:val="Sinespaciado"/>
        <w:jc w:val="both"/>
        <w:rPr>
          <w:i/>
          <w:iCs/>
        </w:rPr>
      </w:pPr>
      <w:r w:rsidRPr="00835574">
        <w:rPr>
          <w:i/>
          <w:iCs/>
        </w:rPr>
        <w:t>Mejorar la efectividad, rendimiento, habilidades, y conocimientos del personal del OSFE, para brindar mayor confianza y certeza a la ciudadanía a través de la optimización de los procesos de gestión y profesionalización de sus servidores públicos.</w:t>
      </w:r>
    </w:p>
    <w:p w14:paraId="0C22E9BC" w14:textId="77777777" w:rsidR="00A3527F" w:rsidRPr="00835574" w:rsidRDefault="00A3527F" w:rsidP="00421E8E">
      <w:pPr>
        <w:pStyle w:val="Sinespaciado"/>
        <w:jc w:val="both"/>
        <w:rPr>
          <w:i/>
          <w:iCs/>
        </w:rPr>
      </w:pPr>
    </w:p>
    <w:p w14:paraId="326D8C31" w14:textId="77777777" w:rsidR="00A3527F" w:rsidRPr="00835574" w:rsidRDefault="00A3527F" w:rsidP="00421E8E">
      <w:pPr>
        <w:pStyle w:val="Sinespaciado"/>
        <w:jc w:val="both"/>
        <w:rPr>
          <w:i/>
          <w:iCs/>
          <w:u w:val="single"/>
        </w:rPr>
      </w:pPr>
      <w:r w:rsidRPr="00835574">
        <w:rPr>
          <w:i/>
          <w:iCs/>
          <w:u w:val="single"/>
        </w:rPr>
        <w:t>Eje: Fiscalización Eficaz y Transparente.</w:t>
      </w:r>
    </w:p>
    <w:p w14:paraId="2FA804CD" w14:textId="77777777" w:rsidR="00A3527F" w:rsidRPr="00835574" w:rsidRDefault="00A3527F" w:rsidP="00421E8E">
      <w:pPr>
        <w:pStyle w:val="Sinespaciado"/>
        <w:jc w:val="both"/>
        <w:rPr>
          <w:i/>
          <w:iCs/>
        </w:rPr>
      </w:pPr>
    </w:p>
    <w:p w14:paraId="5BCCED82" w14:textId="77777777" w:rsidR="00A3527F" w:rsidRPr="00835574" w:rsidRDefault="00A3527F" w:rsidP="00421E8E">
      <w:pPr>
        <w:pStyle w:val="Sinespaciado"/>
        <w:jc w:val="both"/>
        <w:rPr>
          <w:i/>
          <w:iCs/>
        </w:rPr>
      </w:pPr>
      <w:r w:rsidRPr="00835574">
        <w:rPr>
          <w:i/>
          <w:iCs/>
        </w:rPr>
        <w:lastRenderedPageBreak/>
        <w:t>Fortalecer el proceso de fiscalización de las Cuentas Públicas, mediante acciones que mejoren la ejecución y obtención de resultados en las auditorías y que se traduzcan en un referente para la ciudadanía.</w:t>
      </w:r>
    </w:p>
    <w:p w14:paraId="5FC0878A" w14:textId="77777777" w:rsidR="00A3527F" w:rsidRPr="00835574" w:rsidRDefault="00A3527F" w:rsidP="00421E8E">
      <w:pPr>
        <w:pStyle w:val="Sinespaciado"/>
        <w:jc w:val="both"/>
        <w:rPr>
          <w:i/>
          <w:iCs/>
        </w:rPr>
      </w:pPr>
    </w:p>
    <w:p w14:paraId="781CA7E0" w14:textId="77777777" w:rsidR="00A3527F" w:rsidRPr="00835574" w:rsidRDefault="00A3527F" w:rsidP="00421E8E">
      <w:pPr>
        <w:pStyle w:val="Sinespaciado"/>
        <w:jc w:val="both"/>
        <w:rPr>
          <w:i/>
          <w:iCs/>
          <w:u w:val="single"/>
        </w:rPr>
      </w:pPr>
      <w:r w:rsidRPr="00835574">
        <w:rPr>
          <w:i/>
          <w:iCs/>
          <w:u w:val="single"/>
        </w:rPr>
        <w:t>Eje: Vinculación y Coordinación Institucional.</w:t>
      </w:r>
    </w:p>
    <w:p w14:paraId="7E61280B" w14:textId="77777777" w:rsidR="00A3527F" w:rsidRPr="00835574" w:rsidRDefault="00A3527F" w:rsidP="00421E8E">
      <w:pPr>
        <w:pStyle w:val="Sinespaciado"/>
        <w:jc w:val="both"/>
        <w:rPr>
          <w:i/>
          <w:iCs/>
        </w:rPr>
      </w:pPr>
    </w:p>
    <w:p w14:paraId="704A2EF2" w14:textId="77777777" w:rsidR="00A3527F" w:rsidRPr="00835574" w:rsidRDefault="00A3527F" w:rsidP="00421E8E">
      <w:pPr>
        <w:pStyle w:val="Sinespaciado"/>
        <w:jc w:val="both"/>
        <w:rPr>
          <w:i/>
          <w:iCs/>
        </w:rPr>
      </w:pPr>
      <w:r w:rsidRPr="00835574">
        <w:rPr>
          <w:i/>
          <w:iCs/>
        </w:rPr>
        <w:t>Mejorar el desempeño de las actividades y los resultados en materia de auditoría, en coordinación con instituciones afines a la fiscalización, haciendo pública la información de interés, a efecto de poder incrementar la confianza ante la sociedad.</w:t>
      </w:r>
    </w:p>
    <w:p w14:paraId="68F7EAFB" w14:textId="77777777" w:rsidR="00A3527F" w:rsidRPr="00835574" w:rsidRDefault="00A3527F" w:rsidP="00421E8E">
      <w:pPr>
        <w:pStyle w:val="Sinespaciado"/>
        <w:jc w:val="both"/>
        <w:rPr>
          <w:i/>
          <w:iCs/>
        </w:rPr>
      </w:pPr>
    </w:p>
    <w:p w14:paraId="09FE7CC6" w14:textId="77777777" w:rsidR="00A3527F" w:rsidRPr="00835574" w:rsidRDefault="00A3527F" w:rsidP="00421E8E">
      <w:pPr>
        <w:pStyle w:val="Sinespaciado"/>
        <w:jc w:val="both"/>
        <w:rPr>
          <w:i/>
          <w:iCs/>
          <w:u w:val="single"/>
        </w:rPr>
      </w:pPr>
      <w:r w:rsidRPr="00835574">
        <w:rPr>
          <w:i/>
          <w:iCs/>
          <w:u w:val="single"/>
        </w:rPr>
        <w:t>Eje: Participación en los Sistemas de Combate a la Corrupción y Nacional de Fiscalización.</w:t>
      </w:r>
    </w:p>
    <w:p w14:paraId="03056664" w14:textId="77777777" w:rsidR="00A3527F" w:rsidRPr="00835574" w:rsidRDefault="00A3527F" w:rsidP="00421E8E">
      <w:pPr>
        <w:pStyle w:val="Sinespaciado"/>
        <w:jc w:val="both"/>
        <w:rPr>
          <w:i/>
          <w:iCs/>
        </w:rPr>
      </w:pPr>
    </w:p>
    <w:p w14:paraId="0135AF1F" w14:textId="77777777" w:rsidR="00A3527F" w:rsidRPr="00835574" w:rsidRDefault="00A3527F" w:rsidP="00421E8E">
      <w:pPr>
        <w:pStyle w:val="Sinespaciado"/>
        <w:jc w:val="both"/>
        <w:rPr>
          <w:i/>
          <w:iCs/>
        </w:rPr>
      </w:pPr>
      <w:r w:rsidRPr="00835574">
        <w:rPr>
          <w:i/>
          <w:iCs/>
        </w:rPr>
        <w:t>Fomentar el intercambio de ideas y experiencias en el ámbito de competencia con la administración pública buscando acciones que permitan una revisión coordinada, respetuosa y autónoma del desempeño gubernamental, para lograr una cultura de honestidad, responsabilidad y rendición de cuentas.</w:t>
      </w:r>
    </w:p>
    <w:p w14:paraId="038BF2DD" w14:textId="77777777" w:rsidR="00A3527F" w:rsidRPr="00835574" w:rsidRDefault="00A3527F" w:rsidP="00421E8E">
      <w:pPr>
        <w:pStyle w:val="Sinespaciado"/>
        <w:jc w:val="both"/>
        <w:rPr>
          <w:b/>
          <w:i/>
          <w:iCs/>
        </w:rPr>
      </w:pPr>
    </w:p>
    <w:p w14:paraId="2AF0AE0B" w14:textId="77777777" w:rsidR="00A3527F" w:rsidRPr="00835574" w:rsidRDefault="00A3527F" w:rsidP="00421E8E">
      <w:pPr>
        <w:pStyle w:val="Sinespaciado"/>
        <w:jc w:val="both"/>
        <w:rPr>
          <w:b/>
          <w:i/>
          <w:iCs/>
        </w:rPr>
      </w:pPr>
      <w:r w:rsidRPr="00835574">
        <w:rPr>
          <w:b/>
          <w:i/>
          <w:iCs/>
        </w:rPr>
        <w:t>ESTRATEGIAS</w:t>
      </w:r>
    </w:p>
    <w:p w14:paraId="6E51B7B0" w14:textId="77777777" w:rsidR="00A3527F" w:rsidRPr="00835574" w:rsidRDefault="00A3527F" w:rsidP="00421E8E">
      <w:pPr>
        <w:pStyle w:val="Sinespaciado"/>
        <w:jc w:val="both"/>
        <w:rPr>
          <w:i/>
          <w:iCs/>
        </w:rPr>
      </w:pPr>
    </w:p>
    <w:p w14:paraId="5000C93B" w14:textId="77777777" w:rsidR="00A3527F" w:rsidRPr="00835574" w:rsidRDefault="00A3527F" w:rsidP="00421E8E">
      <w:pPr>
        <w:pStyle w:val="Sinespaciado"/>
        <w:jc w:val="both"/>
        <w:rPr>
          <w:i/>
          <w:iCs/>
        </w:rPr>
      </w:pPr>
      <w:r w:rsidRPr="00835574">
        <w:rPr>
          <w:i/>
          <w:iCs/>
        </w:rPr>
        <w:t>Para el cumplimiento de los objetivos anteriormente descritas se diseñó el programa presupuestario 133 “Fiscalización de los recursos públicos” y se compone de tres grandes procesos que dan origen a los subprogramas y actividades, como se describen a continuación:</w:t>
      </w:r>
    </w:p>
    <w:p w14:paraId="4934C4A9" w14:textId="77777777" w:rsidR="00A3527F" w:rsidRPr="00835574" w:rsidRDefault="00A3527F" w:rsidP="00421E8E">
      <w:pPr>
        <w:pStyle w:val="Sinespaciado"/>
        <w:jc w:val="both"/>
        <w:rPr>
          <w:i/>
          <w:iCs/>
        </w:rPr>
      </w:pPr>
    </w:p>
    <w:p w14:paraId="08695446" w14:textId="77777777" w:rsidR="00A3527F" w:rsidRPr="00835574" w:rsidRDefault="00A3527F">
      <w:pPr>
        <w:pStyle w:val="Sinespaciado"/>
        <w:numPr>
          <w:ilvl w:val="0"/>
          <w:numId w:val="45"/>
        </w:numPr>
        <w:jc w:val="both"/>
        <w:rPr>
          <w:i/>
          <w:iCs/>
        </w:rPr>
      </w:pPr>
      <w:r w:rsidRPr="00835574">
        <w:rPr>
          <w:i/>
          <w:iCs/>
        </w:rPr>
        <w:t>Planeación y capacitación.</w:t>
      </w:r>
    </w:p>
    <w:p w14:paraId="4BD2C2D7" w14:textId="77777777" w:rsidR="00A3527F" w:rsidRPr="00835574" w:rsidRDefault="00A3527F" w:rsidP="00421E8E">
      <w:pPr>
        <w:pStyle w:val="Sinespaciado"/>
        <w:jc w:val="both"/>
        <w:rPr>
          <w:i/>
          <w:iCs/>
        </w:rPr>
      </w:pPr>
    </w:p>
    <w:p w14:paraId="6F89A1E5" w14:textId="77777777" w:rsidR="00A3527F" w:rsidRPr="00835574" w:rsidRDefault="00A3527F" w:rsidP="00421E8E">
      <w:pPr>
        <w:pStyle w:val="Sinespaciado"/>
        <w:jc w:val="both"/>
        <w:rPr>
          <w:i/>
          <w:iCs/>
        </w:rPr>
      </w:pPr>
      <w:r w:rsidRPr="00835574">
        <w:rPr>
          <w:i/>
          <w:iCs/>
        </w:rPr>
        <w:t>En este proceso se consideran las capacitaciones a realizar a los entes públicos, con el propósito de coadyuvar en el cumplimiento de las obligaciones (presentación del Informe de Avance de Gestión Financiera y Cuenta Pública, por mencionar algunos) que por ley les corresponden ante este Órgano Superior de Fiscalización, así como la elaboración y actualización de la normativa y desarrollo de capacidades.</w:t>
      </w:r>
    </w:p>
    <w:p w14:paraId="0E14CEB2" w14:textId="77777777" w:rsidR="00A3527F" w:rsidRPr="00835574" w:rsidRDefault="00A3527F" w:rsidP="00421E8E">
      <w:pPr>
        <w:pStyle w:val="Sinespaciado"/>
        <w:jc w:val="both"/>
        <w:rPr>
          <w:i/>
          <w:iCs/>
        </w:rPr>
      </w:pPr>
    </w:p>
    <w:p w14:paraId="4F4A49EC" w14:textId="77777777" w:rsidR="00A3527F" w:rsidRPr="00835574" w:rsidRDefault="00A3527F">
      <w:pPr>
        <w:pStyle w:val="Sinespaciado"/>
        <w:numPr>
          <w:ilvl w:val="0"/>
          <w:numId w:val="45"/>
        </w:numPr>
        <w:jc w:val="both"/>
        <w:rPr>
          <w:i/>
          <w:iCs/>
        </w:rPr>
      </w:pPr>
      <w:r w:rsidRPr="00835574">
        <w:rPr>
          <w:i/>
          <w:iCs/>
        </w:rPr>
        <w:t>Fiscalización de las cuentas públicas y seguimiento a los procesos de solventación de auditoría.</w:t>
      </w:r>
    </w:p>
    <w:p w14:paraId="7002B29B" w14:textId="77777777" w:rsidR="00A3527F" w:rsidRPr="00835574" w:rsidRDefault="00A3527F" w:rsidP="00374261">
      <w:pPr>
        <w:pStyle w:val="Sinespaciado"/>
        <w:ind w:left="720"/>
        <w:jc w:val="both"/>
        <w:rPr>
          <w:i/>
          <w:iCs/>
        </w:rPr>
      </w:pPr>
    </w:p>
    <w:p w14:paraId="328AD647" w14:textId="77777777" w:rsidR="00A3527F" w:rsidRPr="00835574" w:rsidRDefault="00A3527F" w:rsidP="00421E8E">
      <w:pPr>
        <w:pStyle w:val="Sinespaciado"/>
        <w:jc w:val="both"/>
        <w:rPr>
          <w:i/>
          <w:iCs/>
        </w:rPr>
      </w:pPr>
      <w:r w:rsidRPr="00835574">
        <w:rPr>
          <w:i/>
          <w:iCs/>
        </w:rPr>
        <w:t xml:space="preserve">En esta sección se realizan las auditorías a realizar a las cuentas públicas de los entes públicos y el seguimiento de los procesos de solventación de auditoría de los entes fiscalizables, para poder determinar las acciones pertinentes con respecto a las observaciones detectadas. </w:t>
      </w:r>
    </w:p>
    <w:p w14:paraId="134B1FE9" w14:textId="77777777" w:rsidR="00A3527F" w:rsidRPr="00835574" w:rsidRDefault="00A3527F" w:rsidP="00421E8E">
      <w:pPr>
        <w:pStyle w:val="Sinespaciado"/>
        <w:jc w:val="both"/>
        <w:rPr>
          <w:i/>
          <w:iCs/>
        </w:rPr>
      </w:pPr>
    </w:p>
    <w:p w14:paraId="4413F760" w14:textId="77777777" w:rsidR="00A3527F" w:rsidRPr="00835574" w:rsidRDefault="00A3527F">
      <w:pPr>
        <w:pStyle w:val="Sinespaciado"/>
        <w:numPr>
          <w:ilvl w:val="0"/>
          <w:numId w:val="45"/>
        </w:numPr>
        <w:jc w:val="both"/>
        <w:rPr>
          <w:i/>
          <w:iCs/>
        </w:rPr>
      </w:pPr>
      <w:r w:rsidRPr="00835574">
        <w:rPr>
          <w:i/>
          <w:iCs/>
        </w:rPr>
        <w:t>Promociones de responsabilidades administrativas.</w:t>
      </w:r>
    </w:p>
    <w:p w14:paraId="4D05ED86" w14:textId="77777777" w:rsidR="00A3527F" w:rsidRPr="00835574" w:rsidRDefault="00A3527F" w:rsidP="00421E8E">
      <w:pPr>
        <w:pStyle w:val="Sinespaciado"/>
        <w:jc w:val="both"/>
        <w:rPr>
          <w:i/>
          <w:iCs/>
        </w:rPr>
      </w:pPr>
    </w:p>
    <w:p w14:paraId="644E1E02" w14:textId="5AA07222" w:rsidR="00583DDB" w:rsidRPr="00835574" w:rsidRDefault="00A3527F" w:rsidP="00145D46">
      <w:pPr>
        <w:pStyle w:val="Sinespaciado"/>
        <w:jc w:val="both"/>
        <w:rPr>
          <w:i/>
          <w:iCs/>
        </w:rPr>
      </w:pPr>
      <w:r w:rsidRPr="00835574">
        <w:rPr>
          <w:i/>
          <w:iCs/>
        </w:rPr>
        <w:lastRenderedPageBreak/>
        <w:t xml:space="preserve">En este apartado se consideran los expedientes de presunta responsabilidad administrativa, así como el envío al Órgano Interno de Control respecto a las promociones de responsabilidad administrativa sancionatorias, de acuerdo a los resultados de las auditorías aplicadas. </w:t>
      </w:r>
    </w:p>
    <w:p w14:paraId="584768A1" w14:textId="77777777" w:rsidR="00145D46" w:rsidRPr="00835574" w:rsidRDefault="00145D46" w:rsidP="00145D46">
      <w:pPr>
        <w:pStyle w:val="Sinespaciado"/>
        <w:jc w:val="both"/>
        <w:rPr>
          <w:b/>
          <w:i/>
          <w:iCs/>
        </w:rPr>
      </w:pPr>
    </w:p>
    <w:p w14:paraId="001C6EAD" w14:textId="46DE96DB" w:rsidR="00A3527F" w:rsidRPr="00835574" w:rsidRDefault="00A3527F" w:rsidP="00421E8E">
      <w:pPr>
        <w:pStyle w:val="Sinespaciado"/>
        <w:jc w:val="both"/>
        <w:rPr>
          <w:b/>
          <w:i/>
          <w:iCs/>
        </w:rPr>
      </w:pPr>
      <w:r w:rsidRPr="00835574">
        <w:rPr>
          <w:b/>
          <w:i/>
          <w:iCs/>
        </w:rPr>
        <w:t>METAS DEL GASTO PARA 2023</w:t>
      </w:r>
    </w:p>
    <w:p w14:paraId="18FCD31A" w14:textId="77777777" w:rsidR="00472C84" w:rsidRPr="00835574" w:rsidRDefault="00472C84" w:rsidP="00421E8E">
      <w:pPr>
        <w:pStyle w:val="Sinespaciado"/>
        <w:jc w:val="both"/>
        <w:rPr>
          <w:b/>
          <w:i/>
          <w:iCs/>
        </w:rPr>
      </w:pPr>
    </w:p>
    <w:p w14:paraId="5DCEA1C9" w14:textId="77777777" w:rsidR="00A3527F" w:rsidRPr="00835574" w:rsidRDefault="00A3527F" w:rsidP="00421E8E">
      <w:pPr>
        <w:pStyle w:val="Sinespaciado"/>
        <w:jc w:val="both"/>
        <w:rPr>
          <w:i/>
          <w:iCs/>
        </w:rPr>
      </w:pPr>
      <w:r w:rsidRPr="00835574">
        <w:rPr>
          <w:i/>
          <w:iCs/>
        </w:rPr>
        <w:t>De acuerdo con la Matriz de Indicadores para Resultados del programa presupuestario anteriormente mencionado, los indicadores de acuerdo a cada nivel son los siguientes:</w:t>
      </w:r>
    </w:p>
    <w:p w14:paraId="5B218C0A" w14:textId="77777777" w:rsidR="00A3527F" w:rsidRPr="00835574" w:rsidRDefault="00A3527F" w:rsidP="00421E8E">
      <w:pPr>
        <w:pStyle w:val="Sinespaciado"/>
        <w:jc w:val="both"/>
        <w:rPr>
          <w:i/>
          <w:iCs/>
        </w:rPr>
      </w:pPr>
    </w:p>
    <w:p w14:paraId="310632B3" w14:textId="77777777" w:rsidR="00A3527F" w:rsidRPr="00835574" w:rsidRDefault="00A3527F" w:rsidP="00421E8E">
      <w:pPr>
        <w:pStyle w:val="Sinespaciado"/>
        <w:jc w:val="both"/>
        <w:rPr>
          <w:i/>
          <w:iCs/>
        </w:rPr>
      </w:pPr>
      <w:r w:rsidRPr="00835574">
        <w:rPr>
          <w:i/>
          <w:iCs/>
        </w:rPr>
        <w:t>Nivel Fin.</w:t>
      </w:r>
    </w:p>
    <w:p w14:paraId="55D3D96A"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744A84D4" w14:textId="77777777" w:rsidTr="00536713">
        <w:tc>
          <w:tcPr>
            <w:tcW w:w="2972" w:type="dxa"/>
          </w:tcPr>
          <w:p w14:paraId="3B488FEC" w14:textId="77777777" w:rsidR="00A3527F" w:rsidRPr="00835574" w:rsidRDefault="00A3527F" w:rsidP="00421E8E">
            <w:pPr>
              <w:pStyle w:val="Sinespaciado"/>
              <w:jc w:val="both"/>
              <w:rPr>
                <w:i/>
                <w:iCs/>
              </w:rPr>
            </w:pPr>
            <w:r w:rsidRPr="00835574">
              <w:rPr>
                <w:i/>
                <w:iCs/>
              </w:rPr>
              <w:t>Nombre del indicador</w:t>
            </w:r>
          </w:p>
        </w:tc>
        <w:tc>
          <w:tcPr>
            <w:tcW w:w="5856" w:type="dxa"/>
          </w:tcPr>
          <w:p w14:paraId="69C63775" w14:textId="77777777" w:rsidR="00A3527F" w:rsidRPr="00835574" w:rsidRDefault="00A3527F" w:rsidP="00421E8E">
            <w:pPr>
              <w:pStyle w:val="Sinespaciado"/>
              <w:jc w:val="both"/>
              <w:rPr>
                <w:i/>
                <w:iCs/>
              </w:rPr>
            </w:pPr>
            <w:r w:rsidRPr="00835574">
              <w:rPr>
                <w:i/>
                <w:iCs/>
              </w:rPr>
              <w:t>Índice de transparencia y disponibilidad de la información fiscal</w:t>
            </w:r>
          </w:p>
        </w:tc>
      </w:tr>
      <w:tr w:rsidR="00835574" w:rsidRPr="00835574" w14:paraId="0E31C90D" w14:textId="77777777" w:rsidTr="00536713">
        <w:tc>
          <w:tcPr>
            <w:tcW w:w="2972" w:type="dxa"/>
          </w:tcPr>
          <w:p w14:paraId="69D6A67C" w14:textId="77777777" w:rsidR="00A3527F" w:rsidRPr="00835574" w:rsidRDefault="00A3527F" w:rsidP="00421E8E">
            <w:pPr>
              <w:pStyle w:val="Sinespaciado"/>
              <w:jc w:val="both"/>
              <w:rPr>
                <w:i/>
                <w:iCs/>
              </w:rPr>
            </w:pPr>
            <w:r w:rsidRPr="00835574">
              <w:rPr>
                <w:i/>
                <w:iCs/>
              </w:rPr>
              <w:t>Tipo</w:t>
            </w:r>
          </w:p>
        </w:tc>
        <w:tc>
          <w:tcPr>
            <w:tcW w:w="5856" w:type="dxa"/>
          </w:tcPr>
          <w:p w14:paraId="6ABDCB6B" w14:textId="77777777" w:rsidR="00A3527F" w:rsidRPr="00835574" w:rsidRDefault="00A3527F" w:rsidP="00421E8E">
            <w:pPr>
              <w:pStyle w:val="Sinespaciado"/>
              <w:jc w:val="both"/>
              <w:rPr>
                <w:i/>
                <w:iCs/>
              </w:rPr>
            </w:pPr>
            <w:r w:rsidRPr="00835574">
              <w:rPr>
                <w:i/>
                <w:iCs/>
              </w:rPr>
              <w:t>Estratégico</w:t>
            </w:r>
          </w:p>
        </w:tc>
      </w:tr>
      <w:tr w:rsidR="00835574" w:rsidRPr="00835574" w14:paraId="77FE0E9B" w14:textId="77777777" w:rsidTr="00536713">
        <w:tc>
          <w:tcPr>
            <w:tcW w:w="2972" w:type="dxa"/>
          </w:tcPr>
          <w:p w14:paraId="26FAB0E5" w14:textId="77777777" w:rsidR="00A3527F" w:rsidRPr="00835574" w:rsidRDefault="00A3527F" w:rsidP="00421E8E">
            <w:pPr>
              <w:pStyle w:val="Sinespaciado"/>
              <w:jc w:val="both"/>
              <w:rPr>
                <w:i/>
                <w:iCs/>
              </w:rPr>
            </w:pPr>
            <w:r w:rsidRPr="00835574">
              <w:rPr>
                <w:i/>
                <w:iCs/>
              </w:rPr>
              <w:t>Frecuencia de medición</w:t>
            </w:r>
          </w:p>
        </w:tc>
        <w:tc>
          <w:tcPr>
            <w:tcW w:w="5856" w:type="dxa"/>
          </w:tcPr>
          <w:p w14:paraId="7A610B5E" w14:textId="77777777" w:rsidR="00A3527F" w:rsidRPr="00835574" w:rsidRDefault="00A3527F" w:rsidP="00421E8E">
            <w:pPr>
              <w:pStyle w:val="Sinespaciado"/>
              <w:jc w:val="both"/>
              <w:rPr>
                <w:i/>
                <w:iCs/>
              </w:rPr>
            </w:pPr>
            <w:r w:rsidRPr="00835574">
              <w:rPr>
                <w:i/>
                <w:iCs/>
              </w:rPr>
              <w:t>Anual</w:t>
            </w:r>
          </w:p>
        </w:tc>
      </w:tr>
      <w:tr w:rsidR="00835574" w:rsidRPr="00835574" w14:paraId="45750DDF" w14:textId="77777777" w:rsidTr="00536713">
        <w:tc>
          <w:tcPr>
            <w:tcW w:w="2972" w:type="dxa"/>
          </w:tcPr>
          <w:p w14:paraId="68833B14" w14:textId="77777777" w:rsidR="00A3527F" w:rsidRPr="00835574" w:rsidRDefault="00A3527F" w:rsidP="00421E8E">
            <w:pPr>
              <w:pStyle w:val="Sinespaciado"/>
              <w:jc w:val="both"/>
              <w:rPr>
                <w:i/>
                <w:iCs/>
              </w:rPr>
            </w:pPr>
            <w:r w:rsidRPr="00835574">
              <w:rPr>
                <w:i/>
                <w:iCs/>
              </w:rPr>
              <w:t>Sentido</w:t>
            </w:r>
          </w:p>
        </w:tc>
        <w:tc>
          <w:tcPr>
            <w:tcW w:w="5856" w:type="dxa"/>
          </w:tcPr>
          <w:p w14:paraId="0D7E6854" w14:textId="77777777" w:rsidR="00A3527F" w:rsidRPr="00835574" w:rsidRDefault="00A3527F" w:rsidP="00421E8E">
            <w:pPr>
              <w:pStyle w:val="Sinespaciado"/>
              <w:jc w:val="both"/>
              <w:rPr>
                <w:i/>
                <w:iCs/>
              </w:rPr>
            </w:pPr>
            <w:r w:rsidRPr="00835574">
              <w:rPr>
                <w:i/>
                <w:iCs/>
              </w:rPr>
              <w:t>Ascendente</w:t>
            </w:r>
          </w:p>
        </w:tc>
      </w:tr>
    </w:tbl>
    <w:p w14:paraId="36A1F60F" w14:textId="77777777" w:rsidR="00A3527F" w:rsidRPr="00835574" w:rsidRDefault="00A3527F" w:rsidP="00421E8E">
      <w:pPr>
        <w:pStyle w:val="Sinespaciado"/>
        <w:jc w:val="both"/>
        <w:rPr>
          <w:i/>
          <w:iCs/>
        </w:rPr>
      </w:pPr>
      <w:r w:rsidRPr="00835574">
        <w:rPr>
          <w:i/>
          <w:iCs/>
        </w:rPr>
        <w:t xml:space="preserve"> </w:t>
      </w:r>
    </w:p>
    <w:p w14:paraId="7E697350" w14:textId="77777777" w:rsidR="00A3527F" w:rsidRPr="00835574" w:rsidRDefault="00A3527F" w:rsidP="00421E8E">
      <w:pPr>
        <w:pStyle w:val="Sinespaciado"/>
        <w:jc w:val="both"/>
        <w:rPr>
          <w:i/>
          <w:iCs/>
        </w:rPr>
      </w:pPr>
      <w:r w:rsidRPr="00835574">
        <w:rPr>
          <w:i/>
          <w:iCs/>
        </w:rPr>
        <w:t>Nivel Propósito.</w:t>
      </w:r>
    </w:p>
    <w:p w14:paraId="2E79CA69"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50A74B72" w14:textId="77777777" w:rsidTr="00536713">
        <w:tc>
          <w:tcPr>
            <w:tcW w:w="2972" w:type="dxa"/>
          </w:tcPr>
          <w:p w14:paraId="1156EBD9" w14:textId="77777777" w:rsidR="00A3527F" w:rsidRPr="00835574" w:rsidRDefault="00A3527F" w:rsidP="00421E8E">
            <w:pPr>
              <w:pStyle w:val="Sinespaciado"/>
              <w:jc w:val="both"/>
              <w:rPr>
                <w:i/>
                <w:iCs/>
              </w:rPr>
            </w:pPr>
            <w:r w:rsidRPr="00835574">
              <w:rPr>
                <w:i/>
                <w:iCs/>
              </w:rPr>
              <w:t>Nombre del indicador</w:t>
            </w:r>
          </w:p>
        </w:tc>
        <w:tc>
          <w:tcPr>
            <w:tcW w:w="5856" w:type="dxa"/>
          </w:tcPr>
          <w:p w14:paraId="4EA2A52B" w14:textId="77777777" w:rsidR="00A3527F" w:rsidRPr="00835574" w:rsidRDefault="00A3527F" w:rsidP="00421E8E">
            <w:pPr>
              <w:pStyle w:val="Sinespaciado"/>
              <w:jc w:val="both"/>
              <w:rPr>
                <w:i/>
                <w:iCs/>
              </w:rPr>
            </w:pPr>
            <w:r w:rsidRPr="00835574">
              <w:rPr>
                <w:i/>
                <w:iCs/>
              </w:rPr>
              <w:t>Razón de recurso observado sin solventar por parte de los entes fiscalizables</w:t>
            </w:r>
          </w:p>
        </w:tc>
      </w:tr>
      <w:tr w:rsidR="00835574" w:rsidRPr="00835574" w14:paraId="018E4276" w14:textId="77777777" w:rsidTr="00536713">
        <w:tc>
          <w:tcPr>
            <w:tcW w:w="2972" w:type="dxa"/>
          </w:tcPr>
          <w:p w14:paraId="3D0632AD" w14:textId="77777777" w:rsidR="00A3527F" w:rsidRPr="00835574" w:rsidRDefault="00A3527F" w:rsidP="00421E8E">
            <w:pPr>
              <w:pStyle w:val="Sinespaciado"/>
              <w:jc w:val="both"/>
              <w:rPr>
                <w:i/>
                <w:iCs/>
              </w:rPr>
            </w:pPr>
            <w:r w:rsidRPr="00835574">
              <w:rPr>
                <w:i/>
                <w:iCs/>
              </w:rPr>
              <w:t>Tipo</w:t>
            </w:r>
          </w:p>
        </w:tc>
        <w:tc>
          <w:tcPr>
            <w:tcW w:w="5856" w:type="dxa"/>
          </w:tcPr>
          <w:p w14:paraId="31D2DDA8" w14:textId="77777777" w:rsidR="00A3527F" w:rsidRPr="00835574" w:rsidRDefault="00A3527F" w:rsidP="00421E8E">
            <w:pPr>
              <w:pStyle w:val="Sinespaciado"/>
              <w:jc w:val="both"/>
              <w:rPr>
                <w:i/>
                <w:iCs/>
              </w:rPr>
            </w:pPr>
            <w:r w:rsidRPr="00835574">
              <w:rPr>
                <w:i/>
                <w:iCs/>
              </w:rPr>
              <w:t>Estratégico</w:t>
            </w:r>
          </w:p>
        </w:tc>
      </w:tr>
      <w:tr w:rsidR="00835574" w:rsidRPr="00835574" w14:paraId="06CBFA21" w14:textId="77777777" w:rsidTr="00536713">
        <w:tc>
          <w:tcPr>
            <w:tcW w:w="2972" w:type="dxa"/>
          </w:tcPr>
          <w:p w14:paraId="499866D5" w14:textId="77777777" w:rsidR="00A3527F" w:rsidRPr="00835574" w:rsidRDefault="00A3527F" w:rsidP="00421E8E">
            <w:pPr>
              <w:pStyle w:val="Sinespaciado"/>
              <w:jc w:val="both"/>
              <w:rPr>
                <w:i/>
                <w:iCs/>
              </w:rPr>
            </w:pPr>
            <w:r w:rsidRPr="00835574">
              <w:rPr>
                <w:i/>
                <w:iCs/>
              </w:rPr>
              <w:t>Frecuencia de medición</w:t>
            </w:r>
          </w:p>
        </w:tc>
        <w:tc>
          <w:tcPr>
            <w:tcW w:w="5856" w:type="dxa"/>
          </w:tcPr>
          <w:p w14:paraId="76ADDB88" w14:textId="77777777" w:rsidR="00A3527F" w:rsidRPr="00835574" w:rsidRDefault="00A3527F" w:rsidP="00421E8E">
            <w:pPr>
              <w:pStyle w:val="Sinespaciado"/>
              <w:jc w:val="both"/>
              <w:rPr>
                <w:i/>
                <w:iCs/>
              </w:rPr>
            </w:pPr>
            <w:r w:rsidRPr="00835574">
              <w:rPr>
                <w:i/>
                <w:iCs/>
              </w:rPr>
              <w:t>Anual</w:t>
            </w:r>
          </w:p>
        </w:tc>
      </w:tr>
      <w:tr w:rsidR="00835574" w:rsidRPr="00835574" w14:paraId="6C1F6C2D" w14:textId="77777777" w:rsidTr="00536713">
        <w:tc>
          <w:tcPr>
            <w:tcW w:w="2972" w:type="dxa"/>
          </w:tcPr>
          <w:p w14:paraId="5A477211" w14:textId="77777777" w:rsidR="00A3527F" w:rsidRPr="00835574" w:rsidRDefault="00A3527F" w:rsidP="00421E8E">
            <w:pPr>
              <w:pStyle w:val="Sinespaciado"/>
              <w:jc w:val="both"/>
              <w:rPr>
                <w:i/>
                <w:iCs/>
              </w:rPr>
            </w:pPr>
            <w:r w:rsidRPr="00835574">
              <w:rPr>
                <w:i/>
                <w:iCs/>
              </w:rPr>
              <w:t>Sentido</w:t>
            </w:r>
          </w:p>
        </w:tc>
        <w:tc>
          <w:tcPr>
            <w:tcW w:w="5856" w:type="dxa"/>
          </w:tcPr>
          <w:p w14:paraId="01EFEB38" w14:textId="77777777" w:rsidR="00A3527F" w:rsidRPr="00835574" w:rsidRDefault="00A3527F" w:rsidP="00421E8E">
            <w:pPr>
              <w:pStyle w:val="Sinespaciado"/>
              <w:jc w:val="both"/>
              <w:rPr>
                <w:i/>
                <w:iCs/>
              </w:rPr>
            </w:pPr>
            <w:r w:rsidRPr="00835574">
              <w:rPr>
                <w:i/>
                <w:iCs/>
              </w:rPr>
              <w:t>Descendente</w:t>
            </w:r>
          </w:p>
        </w:tc>
      </w:tr>
    </w:tbl>
    <w:p w14:paraId="0C85FA55" w14:textId="77777777" w:rsidR="00A3527F" w:rsidRPr="00835574" w:rsidRDefault="00A3527F" w:rsidP="00421E8E">
      <w:pPr>
        <w:pStyle w:val="Sinespaciado"/>
        <w:jc w:val="both"/>
        <w:rPr>
          <w:i/>
          <w:iCs/>
        </w:rPr>
      </w:pPr>
    </w:p>
    <w:p w14:paraId="0AE13C5D" w14:textId="77777777" w:rsidR="00A3527F" w:rsidRPr="00835574" w:rsidRDefault="00A3527F" w:rsidP="00421E8E">
      <w:pPr>
        <w:pStyle w:val="Sinespaciado"/>
        <w:jc w:val="both"/>
        <w:rPr>
          <w:i/>
          <w:iCs/>
        </w:rPr>
      </w:pPr>
      <w:r w:rsidRPr="00835574">
        <w:rPr>
          <w:i/>
          <w:iCs/>
          <w:u w:val="single"/>
        </w:rPr>
        <w:t>Componente 1</w:t>
      </w:r>
      <w:r w:rsidRPr="00835574">
        <w:rPr>
          <w:i/>
          <w:iCs/>
        </w:rPr>
        <w:t xml:space="preserve"> Informes de avance de gestión financiera realizados.</w:t>
      </w:r>
    </w:p>
    <w:p w14:paraId="7DD57913"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128DAA59" w14:textId="77777777" w:rsidTr="00536713">
        <w:tc>
          <w:tcPr>
            <w:tcW w:w="2972" w:type="dxa"/>
          </w:tcPr>
          <w:p w14:paraId="0192BE13" w14:textId="77777777" w:rsidR="00A3527F" w:rsidRPr="00835574" w:rsidRDefault="00A3527F" w:rsidP="00421E8E">
            <w:pPr>
              <w:pStyle w:val="Sinespaciado"/>
              <w:jc w:val="both"/>
              <w:rPr>
                <w:i/>
                <w:iCs/>
              </w:rPr>
            </w:pPr>
            <w:r w:rsidRPr="00835574">
              <w:rPr>
                <w:i/>
                <w:iCs/>
              </w:rPr>
              <w:t>Nombre del indicador</w:t>
            </w:r>
          </w:p>
        </w:tc>
        <w:tc>
          <w:tcPr>
            <w:tcW w:w="5856" w:type="dxa"/>
          </w:tcPr>
          <w:p w14:paraId="75928F3A" w14:textId="77777777" w:rsidR="00A3527F" w:rsidRPr="00835574" w:rsidRDefault="00A3527F" w:rsidP="00421E8E">
            <w:pPr>
              <w:pStyle w:val="Sinespaciado"/>
              <w:jc w:val="both"/>
              <w:rPr>
                <w:i/>
                <w:iCs/>
              </w:rPr>
            </w:pPr>
            <w:r w:rsidRPr="00835574">
              <w:rPr>
                <w:i/>
                <w:iCs/>
              </w:rPr>
              <w:t>Porcentaje de informes de avance de gestión financiera entregados al congreso</w:t>
            </w:r>
          </w:p>
        </w:tc>
      </w:tr>
      <w:tr w:rsidR="00835574" w:rsidRPr="00835574" w14:paraId="6A7B348D" w14:textId="77777777" w:rsidTr="00536713">
        <w:tc>
          <w:tcPr>
            <w:tcW w:w="2972" w:type="dxa"/>
          </w:tcPr>
          <w:p w14:paraId="5FCCC42A" w14:textId="77777777" w:rsidR="00A3527F" w:rsidRPr="00835574" w:rsidRDefault="00A3527F" w:rsidP="00421E8E">
            <w:pPr>
              <w:pStyle w:val="Sinespaciado"/>
              <w:jc w:val="both"/>
              <w:rPr>
                <w:i/>
                <w:iCs/>
              </w:rPr>
            </w:pPr>
            <w:r w:rsidRPr="00835574">
              <w:rPr>
                <w:i/>
                <w:iCs/>
              </w:rPr>
              <w:t>Tipo</w:t>
            </w:r>
          </w:p>
        </w:tc>
        <w:tc>
          <w:tcPr>
            <w:tcW w:w="5856" w:type="dxa"/>
          </w:tcPr>
          <w:p w14:paraId="4D8E6310" w14:textId="77777777" w:rsidR="00A3527F" w:rsidRPr="00835574" w:rsidRDefault="00A3527F" w:rsidP="00421E8E">
            <w:pPr>
              <w:pStyle w:val="Sinespaciado"/>
              <w:jc w:val="both"/>
              <w:rPr>
                <w:i/>
                <w:iCs/>
              </w:rPr>
            </w:pPr>
            <w:r w:rsidRPr="00835574">
              <w:rPr>
                <w:i/>
                <w:iCs/>
              </w:rPr>
              <w:t>Gestión</w:t>
            </w:r>
          </w:p>
        </w:tc>
      </w:tr>
      <w:tr w:rsidR="00835574" w:rsidRPr="00835574" w14:paraId="3093FF30" w14:textId="77777777" w:rsidTr="00536713">
        <w:tc>
          <w:tcPr>
            <w:tcW w:w="2972" w:type="dxa"/>
          </w:tcPr>
          <w:p w14:paraId="139BF9F7" w14:textId="77777777" w:rsidR="00A3527F" w:rsidRPr="00835574" w:rsidRDefault="00A3527F" w:rsidP="00421E8E">
            <w:pPr>
              <w:pStyle w:val="Sinespaciado"/>
              <w:jc w:val="both"/>
              <w:rPr>
                <w:i/>
                <w:iCs/>
              </w:rPr>
            </w:pPr>
            <w:r w:rsidRPr="00835574">
              <w:rPr>
                <w:i/>
                <w:iCs/>
              </w:rPr>
              <w:t>Frecuencia de medición</w:t>
            </w:r>
          </w:p>
        </w:tc>
        <w:tc>
          <w:tcPr>
            <w:tcW w:w="5856" w:type="dxa"/>
          </w:tcPr>
          <w:p w14:paraId="61D12C0E" w14:textId="77777777" w:rsidR="00A3527F" w:rsidRPr="00835574" w:rsidRDefault="00A3527F" w:rsidP="00421E8E">
            <w:pPr>
              <w:pStyle w:val="Sinespaciado"/>
              <w:jc w:val="both"/>
              <w:rPr>
                <w:i/>
                <w:iCs/>
              </w:rPr>
            </w:pPr>
            <w:r w:rsidRPr="00835574">
              <w:rPr>
                <w:i/>
                <w:iCs/>
              </w:rPr>
              <w:t>Semestral</w:t>
            </w:r>
          </w:p>
        </w:tc>
      </w:tr>
      <w:tr w:rsidR="00835574" w:rsidRPr="00835574" w14:paraId="30C10A3B" w14:textId="77777777" w:rsidTr="00536713">
        <w:tc>
          <w:tcPr>
            <w:tcW w:w="2972" w:type="dxa"/>
          </w:tcPr>
          <w:p w14:paraId="38B18FB5" w14:textId="77777777" w:rsidR="00A3527F" w:rsidRPr="00835574" w:rsidRDefault="00A3527F" w:rsidP="00421E8E">
            <w:pPr>
              <w:pStyle w:val="Sinespaciado"/>
              <w:jc w:val="both"/>
              <w:rPr>
                <w:i/>
                <w:iCs/>
              </w:rPr>
            </w:pPr>
            <w:r w:rsidRPr="00835574">
              <w:rPr>
                <w:i/>
                <w:iCs/>
              </w:rPr>
              <w:t>Sentido</w:t>
            </w:r>
          </w:p>
        </w:tc>
        <w:tc>
          <w:tcPr>
            <w:tcW w:w="5856" w:type="dxa"/>
          </w:tcPr>
          <w:p w14:paraId="0EE2E03C" w14:textId="77777777" w:rsidR="00A3527F" w:rsidRPr="00835574" w:rsidRDefault="00A3527F" w:rsidP="00421E8E">
            <w:pPr>
              <w:pStyle w:val="Sinespaciado"/>
              <w:jc w:val="both"/>
              <w:rPr>
                <w:i/>
                <w:iCs/>
              </w:rPr>
            </w:pPr>
            <w:r w:rsidRPr="00835574">
              <w:rPr>
                <w:i/>
                <w:iCs/>
              </w:rPr>
              <w:t>Ascendente</w:t>
            </w:r>
          </w:p>
        </w:tc>
      </w:tr>
    </w:tbl>
    <w:p w14:paraId="78B24841" w14:textId="77777777" w:rsidR="00A3527F" w:rsidRPr="00835574" w:rsidRDefault="00A3527F" w:rsidP="00421E8E">
      <w:pPr>
        <w:pStyle w:val="Sinespaciado"/>
        <w:jc w:val="both"/>
        <w:rPr>
          <w:i/>
          <w:iCs/>
        </w:rPr>
      </w:pPr>
    </w:p>
    <w:p w14:paraId="6A8AE91C" w14:textId="77777777" w:rsidR="00A3527F" w:rsidRPr="00835574" w:rsidRDefault="00A3527F" w:rsidP="00421E8E">
      <w:pPr>
        <w:pStyle w:val="Sinespaciado"/>
        <w:jc w:val="both"/>
        <w:rPr>
          <w:i/>
          <w:iCs/>
        </w:rPr>
      </w:pPr>
      <w:r w:rsidRPr="00835574">
        <w:rPr>
          <w:i/>
          <w:iCs/>
        </w:rPr>
        <w:t>Actividad 1.1 Recepcionar informes de avances de gestión financiera de los ejecutores de gasto.</w:t>
      </w:r>
    </w:p>
    <w:p w14:paraId="6E1DCEFB"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5FC81981" w14:textId="77777777" w:rsidTr="00536713">
        <w:tc>
          <w:tcPr>
            <w:tcW w:w="2972" w:type="dxa"/>
          </w:tcPr>
          <w:p w14:paraId="089A5E09" w14:textId="77777777" w:rsidR="00A3527F" w:rsidRPr="00835574" w:rsidRDefault="00A3527F" w:rsidP="00421E8E">
            <w:pPr>
              <w:pStyle w:val="Sinespaciado"/>
              <w:jc w:val="both"/>
              <w:rPr>
                <w:i/>
                <w:iCs/>
              </w:rPr>
            </w:pPr>
            <w:r w:rsidRPr="00835574">
              <w:rPr>
                <w:i/>
                <w:iCs/>
              </w:rPr>
              <w:t>Nombre del indicador</w:t>
            </w:r>
          </w:p>
        </w:tc>
        <w:tc>
          <w:tcPr>
            <w:tcW w:w="5856" w:type="dxa"/>
          </w:tcPr>
          <w:p w14:paraId="251633A5" w14:textId="77777777" w:rsidR="00A3527F" w:rsidRPr="00835574" w:rsidRDefault="00A3527F" w:rsidP="00421E8E">
            <w:pPr>
              <w:pStyle w:val="Sinespaciado"/>
              <w:jc w:val="both"/>
              <w:rPr>
                <w:i/>
                <w:iCs/>
              </w:rPr>
            </w:pPr>
            <w:r w:rsidRPr="00835574">
              <w:rPr>
                <w:i/>
                <w:iCs/>
              </w:rPr>
              <w:t>Porcentaje de informes de avance de gestión financiera recibidos</w:t>
            </w:r>
          </w:p>
        </w:tc>
      </w:tr>
      <w:tr w:rsidR="00835574" w:rsidRPr="00835574" w14:paraId="44C8AE0F" w14:textId="77777777" w:rsidTr="00536713">
        <w:tc>
          <w:tcPr>
            <w:tcW w:w="2972" w:type="dxa"/>
          </w:tcPr>
          <w:p w14:paraId="1A875E87" w14:textId="77777777" w:rsidR="00A3527F" w:rsidRPr="00835574" w:rsidRDefault="00A3527F" w:rsidP="00421E8E">
            <w:pPr>
              <w:pStyle w:val="Sinespaciado"/>
              <w:jc w:val="both"/>
              <w:rPr>
                <w:i/>
                <w:iCs/>
              </w:rPr>
            </w:pPr>
            <w:r w:rsidRPr="00835574">
              <w:rPr>
                <w:i/>
                <w:iCs/>
              </w:rPr>
              <w:t>Tipo</w:t>
            </w:r>
          </w:p>
        </w:tc>
        <w:tc>
          <w:tcPr>
            <w:tcW w:w="5856" w:type="dxa"/>
          </w:tcPr>
          <w:p w14:paraId="564233C3" w14:textId="77777777" w:rsidR="00A3527F" w:rsidRPr="00835574" w:rsidRDefault="00A3527F" w:rsidP="00421E8E">
            <w:pPr>
              <w:pStyle w:val="Sinespaciado"/>
              <w:jc w:val="both"/>
              <w:rPr>
                <w:i/>
                <w:iCs/>
              </w:rPr>
            </w:pPr>
            <w:r w:rsidRPr="00835574">
              <w:rPr>
                <w:i/>
                <w:iCs/>
              </w:rPr>
              <w:t>Gestión</w:t>
            </w:r>
          </w:p>
        </w:tc>
      </w:tr>
      <w:tr w:rsidR="00835574" w:rsidRPr="00835574" w14:paraId="39A76327" w14:textId="77777777" w:rsidTr="00536713">
        <w:tc>
          <w:tcPr>
            <w:tcW w:w="2972" w:type="dxa"/>
          </w:tcPr>
          <w:p w14:paraId="61CA56B4" w14:textId="77777777" w:rsidR="00A3527F" w:rsidRPr="00835574" w:rsidRDefault="00A3527F" w:rsidP="00421E8E">
            <w:pPr>
              <w:pStyle w:val="Sinespaciado"/>
              <w:jc w:val="both"/>
              <w:rPr>
                <w:i/>
                <w:iCs/>
              </w:rPr>
            </w:pPr>
            <w:r w:rsidRPr="00835574">
              <w:rPr>
                <w:i/>
                <w:iCs/>
              </w:rPr>
              <w:t>Frecuencia de medición</w:t>
            </w:r>
          </w:p>
        </w:tc>
        <w:tc>
          <w:tcPr>
            <w:tcW w:w="5856" w:type="dxa"/>
          </w:tcPr>
          <w:p w14:paraId="2A6D2EC1" w14:textId="77777777" w:rsidR="00A3527F" w:rsidRPr="00835574" w:rsidRDefault="00A3527F" w:rsidP="00421E8E">
            <w:pPr>
              <w:pStyle w:val="Sinespaciado"/>
              <w:jc w:val="both"/>
              <w:rPr>
                <w:i/>
                <w:iCs/>
              </w:rPr>
            </w:pPr>
            <w:r w:rsidRPr="00835574">
              <w:rPr>
                <w:i/>
                <w:iCs/>
              </w:rPr>
              <w:t>Trimestral</w:t>
            </w:r>
          </w:p>
        </w:tc>
      </w:tr>
      <w:tr w:rsidR="00835574" w:rsidRPr="00835574" w14:paraId="25B99441" w14:textId="77777777" w:rsidTr="00536713">
        <w:tc>
          <w:tcPr>
            <w:tcW w:w="2972" w:type="dxa"/>
          </w:tcPr>
          <w:p w14:paraId="65939C1E" w14:textId="77777777" w:rsidR="00A3527F" w:rsidRPr="00835574" w:rsidRDefault="00A3527F" w:rsidP="00421E8E">
            <w:pPr>
              <w:pStyle w:val="Sinespaciado"/>
              <w:jc w:val="both"/>
              <w:rPr>
                <w:i/>
                <w:iCs/>
              </w:rPr>
            </w:pPr>
            <w:r w:rsidRPr="00835574">
              <w:rPr>
                <w:i/>
                <w:iCs/>
              </w:rPr>
              <w:t>Sentido</w:t>
            </w:r>
          </w:p>
        </w:tc>
        <w:tc>
          <w:tcPr>
            <w:tcW w:w="5856" w:type="dxa"/>
          </w:tcPr>
          <w:p w14:paraId="6AD919A4" w14:textId="77777777" w:rsidR="00A3527F" w:rsidRPr="00835574" w:rsidRDefault="00A3527F" w:rsidP="00421E8E">
            <w:pPr>
              <w:pStyle w:val="Sinespaciado"/>
              <w:jc w:val="both"/>
              <w:rPr>
                <w:i/>
                <w:iCs/>
              </w:rPr>
            </w:pPr>
            <w:r w:rsidRPr="00835574">
              <w:rPr>
                <w:i/>
                <w:iCs/>
              </w:rPr>
              <w:t>Ascendente</w:t>
            </w:r>
          </w:p>
        </w:tc>
      </w:tr>
    </w:tbl>
    <w:p w14:paraId="5B7935D6" w14:textId="77777777" w:rsidR="00A3527F" w:rsidRPr="00835574" w:rsidRDefault="00A3527F" w:rsidP="00421E8E">
      <w:pPr>
        <w:pStyle w:val="Sinespaciado"/>
        <w:jc w:val="both"/>
        <w:rPr>
          <w:i/>
          <w:iCs/>
        </w:rPr>
      </w:pPr>
    </w:p>
    <w:p w14:paraId="541343BC" w14:textId="39AFCBA1" w:rsidR="00A3527F" w:rsidRPr="00835574" w:rsidRDefault="00583DDB" w:rsidP="00373877">
      <w:pPr>
        <w:rPr>
          <w:i/>
          <w:iCs/>
        </w:rPr>
      </w:pPr>
      <w:r w:rsidRPr="00835574">
        <w:rPr>
          <w:i/>
          <w:iCs/>
        </w:rPr>
        <w:br w:type="page"/>
      </w:r>
      <w:r w:rsidR="00A3527F" w:rsidRPr="00835574">
        <w:rPr>
          <w:i/>
          <w:iCs/>
        </w:rPr>
        <w:lastRenderedPageBreak/>
        <w:t>Actividad 1.2 Realizar capacitaciones a servidores públicos.</w:t>
      </w:r>
    </w:p>
    <w:p w14:paraId="021A59D8"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502FB35D" w14:textId="77777777" w:rsidTr="00536713">
        <w:tc>
          <w:tcPr>
            <w:tcW w:w="2972" w:type="dxa"/>
          </w:tcPr>
          <w:p w14:paraId="47F55F14" w14:textId="77777777" w:rsidR="00A3527F" w:rsidRPr="00835574" w:rsidRDefault="00A3527F" w:rsidP="00421E8E">
            <w:pPr>
              <w:pStyle w:val="Sinespaciado"/>
              <w:jc w:val="both"/>
              <w:rPr>
                <w:i/>
                <w:iCs/>
              </w:rPr>
            </w:pPr>
            <w:r w:rsidRPr="00835574">
              <w:rPr>
                <w:i/>
                <w:iCs/>
              </w:rPr>
              <w:t>Nombre del indicador</w:t>
            </w:r>
          </w:p>
        </w:tc>
        <w:tc>
          <w:tcPr>
            <w:tcW w:w="5856" w:type="dxa"/>
          </w:tcPr>
          <w:p w14:paraId="2B4D512B" w14:textId="77777777" w:rsidR="00A3527F" w:rsidRPr="00835574" w:rsidRDefault="00A3527F" w:rsidP="00421E8E">
            <w:pPr>
              <w:pStyle w:val="Sinespaciado"/>
              <w:jc w:val="both"/>
              <w:rPr>
                <w:i/>
                <w:iCs/>
              </w:rPr>
            </w:pPr>
            <w:r w:rsidRPr="00835574">
              <w:rPr>
                <w:i/>
                <w:iCs/>
              </w:rPr>
              <w:t>Porcentaje de capacitaciones realizadas</w:t>
            </w:r>
          </w:p>
        </w:tc>
      </w:tr>
      <w:tr w:rsidR="00835574" w:rsidRPr="00835574" w14:paraId="6034B81D" w14:textId="77777777" w:rsidTr="00536713">
        <w:tc>
          <w:tcPr>
            <w:tcW w:w="2972" w:type="dxa"/>
          </w:tcPr>
          <w:p w14:paraId="5100E155" w14:textId="77777777" w:rsidR="00A3527F" w:rsidRPr="00835574" w:rsidRDefault="00A3527F" w:rsidP="00421E8E">
            <w:pPr>
              <w:pStyle w:val="Sinespaciado"/>
              <w:jc w:val="both"/>
              <w:rPr>
                <w:i/>
                <w:iCs/>
              </w:rPr>
            </w:pPr>
            <w:r w:rsidRPr="00835574">
              <w:rPr>
                <w:i/>
                <w:iCs/>
              </w:rPr>
              <w:t>Tipo</w:t>
            </w:r>
          </w:p>
        </w:tc>
        <w:tc>
          <w:tcPr>
            <w:tcW w:w="5856" w:type="dxa"/>
          </w:tcPr>
          <w:p w14:paraId="29D15EF5" w14:textId="77777777" w:rsidR="00A3527F" w:rsidRPr="00835574" w:rsidRDefault="00A3527F" w:rsidP="00421E8E">
            <w:pPr>
              <w:pStyle w:val="Sinespaciado"/>
              <w:jc w:val="both"/>
              <w:rPr>
                <w:i/>
                <w:iCs/>
              </w:rPr>
            </w:pPr>
            <w:r w:rsidRPr="00835574">
              <w:rPr>
                <w:i/>
                <w:iCs/>
              </w:rPr>
              <w:t>Gestión</w:t>
            </w:r>
          </w:p>
        </w:tc>
      </w:tr>
      <w:tr w:rsidR="00835574" w:rsidRPr="00835574" w14:paraId="7226E143" w14:textId="77777777" w:rsidTr="00536713">
        <w:tc>
          <w:tcPr>
            <w:tcW w:w="2972" w:type="dxa"/>
          </w:tcPr>
          <w:p w14:paraId="61882BF1" w14:textId="77777777" w:rsidR="00A3527F" w:rsidRPr="00835574" w:rsidRDefault="00A3527F" w:rsidP="00421E8E">
            <w:pPr>
              <w:pStyle w:val="Sinespaciado"/>
              <w:jc w:val="both"/>
              <w:rPr>
                <w:i/>
                <w:iCs/>
              </w:rPr>
            </w:pPr>
            <w:r w:rsidRPr="00835574">
              <w:rPr>
                <w:i/>
                <w:iCs/>
              </w:rPr>
              <w:t>Frecuencia de medición</w:t>
            </w:r>
          </w:p>
        </w:tc>
        <w:tc>
          <w:tcPr>
            <w:tcW w:w="5856" w:type="dxa"/>
          </w:tcPr>
          <w:p w14:paraId="400A9C9C" w14:textId="77777777" w:rsidR="00A3527F" w:rsidRPr="00835574" w:rsidRDefault="00A3527F" w:rsidP="00421E8E">
            <w:pPr>
              <w:pStyle w:val="Sinespaciado"/>
              <w:jc w:val="both"/>
              <w:rPr>
                <w:i/>
                <w:iCs/>
              </w:rPr>
            </w:pPr>
            <w:r w:rsidRPr="00835574">
              <w:rPr>
                <w:i/>
                <w:iCs/>
              </w:rPr>
              <w:t>Trimestral</w:t>
            </w:r>
          </w:p>
        </w:tc>
      </w:tr>
      <w:tr w:rsidR="00835574" w:rsidRPr="00835574" w14:paraId="302125F7" w14:textId="77777777" w:rsidTr="00536713">
        <w:tc>
          <w:tcPr>
            <w:tcW w:w="2972" w:type="dxa"/>
          </w:tcPr>
          <w:p w14:paraId="589CCA50" w14:textId="77777777" w:rsidR="00A3527F" w:rsidRPr="00835574" w:rsidRDefault="00A3527F" w:rsidP="00421E8E">
            <w:pPr>
              <w:pStyle w:val="Sinespaciado"/>
              <w:jc w:val="both"/>
              <w:rPr>
                <w:i/>
                <w:iCs/>
              </w:rPr>
            </w:pPr>
            <w:r w:rsidRPr="00835574">
              <w:rPr>
                <w:i/>
                <w:iCs/>
              </w:rPr>
              <w:t>Sentido</w:t>
            </w:r>
          </w:p>
        </w:tc>
        <w:tc>
          <w:tcPr>
            <w:tcW w:w="5856" w:type="dxa"/>
          </w:tcPr>
          <w:p w14:paraId="120A4C63" w14:textId="77777777" w:rsidR="00A3527F" w:rsidRPr="00835574" w:rsidRDefault="00A3527F" w:rsidP="00421E8E">
            <w:pPr>
              <w:pStyle w:val="Sinespaciado"/>
              <w:jc w:val="both"/>
              <w:rPr>
                <w:i/>
                <w:iCs/>
              </w:rPr>
            </w:pPr>
            <w:r w:rsidRPr="00835574">
              <w:rPr>
                <w:i/>
                <w:iCs/>
              </w:rPr>
              <w:t>Ascendente</w:t>
            </w:r>
          </w:p>
        </w:tc>
      </w:tr>
    </w:tbl>
    <w:p w14:paraId="40BB44D5" w14:textId="77777777" w:rsidR="00A3527F" w:rsidRPr="00835574" w:rsidRDefault="00A3527F" w:rsidP="00421E8E">
      <w:pPr>
        <w:pStyle w:val="Sinespaciado"/>
        <w:jc w:val="both"/>
        <w:rPr>
          <w:i/>
          <w:iCs/>
        </w:rPr>
      </w:pPr>
    </w:p>
    <w:p w14:paraId="6B4C703A" w14:textId="77777777" w:rsidR="00A3527F" w:rsidRPr="00835574" w:rsidRDefault="00A3527F" w:rsidP="00421E8E">
      <w:pPr>
        <w:pStyle w:val="Sinespaciado"/>
        <w:jc w:val="both"/>
        <w:rPr>
          <w:i/>
          <w:iCs/>
        </w:rPr>
      </w:pPr>
      <w:r w:rsidRPr="00835574">
        <w:rPr>
          <w:i/>
          <w:iCs/>
          <w:u w:val="single"/>
        </w:rPr>
        <w:t>Componente 2</w:t>
      </w:r>
      <w:r w:rsidRPr="00835574">
        <w:rPr>
          <w:i/>
          <w:iCs/>
        </w:rPr>
        <w:t xml:space="preserve"> Fiscalización de las cuentas públicas y seguimiento a los procesos de solventación de auditoría.</w:t>
      </w:r>
    </w:p>
    <w:p w14:paraId="6E7A5189"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48F15126" w14:textId="77777777" w:rsidTr="00536713">
        <w:tc>
          <w:tcPr>
            <w:tcW w:w="2972" w:type="dxa"/>
          </w:tcPr>
          <w:p w14:paraId="6596E755" w14:textId="77777777" w:rsidR="00A3527F" w:rsidRPr="00835574" w:rsidRDefault="00A3527F" w:rsidP="00421E8E">
            <w:pPr>
              <w:pStyle w:val="Sinespaciado"/>
              <w:jc w:val="both"/>
              <w:rPr>
                <w:i/>
                <w:iCs/>
              </w:rPr>
            </w:pPr>
            <w:r w:rsidRPr="00835574">
              <w:rPr>
                <w:i/>
                <w:iCs/>
              </w:rPr>
              <w:t>Nombre del indicador</w:t>
            </w:r>
          </w:p>
        </w:tc>
        <w:tc>
          <w:tcPr>
            <w:tcW w:w="5856" w:type="dxa"/>
          </w:tcPr>
          <w:p w14:paraId="69359DBD" w14:textId="77777777" w:rsidR="00A3527F" w:rsidRPr="00835574" w:rsidRDefault="00A3527F" w:rsidP="00421E8E">
            <w:pPr>
              <w:pStyle w:val="Sinespaciado"/>
              <w:jc w:val="both"/>
              <w:rPr>
                <w:i/>
                <w:iCs/>
              </w:rPr>
            </w:pPr>
            <w:r w:rsidRPr="00835574">
              <w:rPr>
                <w:i/>
                <w:iCs/>
              </w:rPr>
              <w:t>Porcentaje de informes de resultados de la fiscalización</w:t>
            </w:r>
          </w:p>
        </w:tc>
      </w:tr>
      <w:tr w:rsidR="00835574" w:rsidRPr="00835574" w14:paraId="0E2EE213" w14:textId="77777777" w:rsidTr="00536713">
        <w:tc>
          <w:tcPr>
            <w:tcW w:w="2972" w:type="dxa"/>
          </w:tcPr>
          <w:p w14:paraId="6CC2F173" w14:textId="77777777" w:rsidR="00A3527F" w:rsidRPr="00835574" w:rsidRDefault="00A3527F" w:rsidP="00421E8E">
            <w:pPr>
              <w:pStyle w:val="Sinespaciado"/>
              <w:jc w:val="both"/>
              <w:rPr>
                <w:i/>
                <w:iCs/>
              </w:rPr>
            </w:pPr>
            <w:r w:rsidRPr="00835574">
              <w:rPr>
                <w:i/>
                <w:iCs/>
              </w:rPr>
              <w:t>Tipo</w:t>
            </w:r>
          </w:p>
        </w:tc>
        <w:tc>
          <w:tcPr>
            <w:tcW w:w="5856" w:type="dxa"/>
          </w:tcPr>
          <w:p w14:paraId="0DB5B008" w14:textId="77777777" w:rsidR="00A3527F" w:rsidRPr="00835574" w:rsidRDefault="00A3527F" w:rsidP="00421E8E">
            <w:pPr>
              <w:pStyle w:val="Sinespaciado"/>
              <w:jc w:val="both"/>
              <w:rPr>
                <w:i/>
                <w:iCs/>
              </w:rPr>
            </w:pPr>
            <w:r w:rsidRPr="00835574">
              <w:rPr>
                <w:i/>
                <w:iCs/>
              </w:rPr>
              <w:t>Gestión</w:t>
            </w:r>
          </w:p>
        </w:tc>
      </w:tr>
      <w:tr w:rsidR="00835574" w:rsidRPr="00835574" w14:paraId="01DADB26" w14:textId="77777777" w:rsidTr="00536713">
        <w:tc>
          <w:tcPr>
            <w:tcW w:w="2972" w:type="dxa"/>
          </w:tcPr>
          <w:p w14:paraId="37A3AB19" w14:textId="77777777" w:rsidR="00A3527F" w:rsidRPr="00835574" w:rsidRDefault="00A3527F" w:rsidP="00421E8E">
            <w:pPr>
              <w:pStyle w:val="Sinespaciado"/>
              <w:jc w:val="both"/>
              <w:rPr>
                <w:i/>
                <w:iCs/>
              </w:rPr>
            </w:pPr>
            <w:r w:rsidRPr="00835574">
              <w:rPr>
                <w:i/>
                <w:iCs/>
              </w:rPr>
              <w:t>Frecuencia de medición</w:t>
            </w:r>
          </w:p>
        </w:tc>
        <w:tc>
          <w:tcPr>
            <w:tcW w:w="5856" w:type="dxa"/>
          </w:tcPr>
          <w:p w14:paraId="1CE7C0C4" w14:textId="77777777" w:rsidR="00A3527F" w:rsidRPr="00835574" w:rsidRDefault="00A3527F" w:rsidP="00421E8E">
            <w:pPr>
              <w:pStyle w:val="Sinespaciado"/>
              <w:jc w:val="both"/>
              <w:rPr>
                <w:i/>
                <w:iCs/>
              </w:rPr>
            </w:pPr>
            <w:r w:rsidRPr="00835574">
              <w:rPr>
                <w:i/>
                <w:iCs/>
              </w:rPr>
              <w:t>Semestral</w:t>
            </w:r>
          </w:p>
        </w:tc>
      </w:tr>
      <w:tr w:rsidR="00835574" w:rsidRPr="00835574" w14:paraId="1624C6EB" w14:textId="77777777" w:rsidTr="00536713">
        <w:tc>
          <w:tcPr>
            <w:tcW w:w="2972" w:type="dxa"/>
          </w:tcPr>
          <w:p w14:paraId="44160045" w14:textId="77777777" w:rsidR="00A3527F" w:rsidRPr="00835574" w:rsidRDefault="00A3527F" w:rsidP="00421E8E">
            <w:pPr>
              <w:pStyle w:val="Sinespaciado"/>
              <w:jc w:val="both"/>
              <w:rPr>
                <w:i/>
                <w:iCs/>
              </w:rPr>
            </w:pPr>
            <w:r w:rsidRPr="00835574">
              <w:rPr>
                <w:i/>
                <w:iCs/>
              </w:rPr>
              <w:t>Sentido</w:t>
            </w:r>
          </w:p>
        </w:tc>
        <w:tc>
          <w:tcPr>
            <w:tcW w:w="5856" w:type="dxa"/>
          </w:tcPr>
          <w:p w14:paraId="1B152B24" w14:textId="77777777" w:rsidR="00A3527F" w:rsidRPr="00835574" w:rsidRDefault="00A3527F" w:rsidP="00421E8E">
            <w:pPr>
              <w:pStyle w:val="Sinespaciado"/>
              <w:jc w:val="both"/>
              <w:rPr>
                <w:i/>
                <w:iCs/>
              </w:rPr>
            </w:pPr>
            <w:r w:rsidRPr="00835574">
              <w:rPr>
                <w:i/>
                <w:iCs/>
              </w:rPr>
              <w:t>Ascendente</w:t>
            </w:r>
          </w:p>
        </w:tc>
      </w:tr>
    </w:tbl>
    <w:p w14:paraId="1BEFD9C0" w14:textId="77777777" w:rsidR="00A3527F" w:rsidRPr="00835574" w:rsidRDefault="00A3527F" w:rsidP="00421E8E">
      <w:pPr>
        <w:pStyle w:val="Sinespaciado"/>
        <w:jc w:val="both"/>
        <w:rPr>
          <w:i/>
          <w:iCs/>
        </w:rPr>
      </w:pPr>
    </w:p>
    <w:p w14:paraId="5B814CF3" w14:textId="77777777" w:rsidR="00A3527F" w:rsidRPr="00835574" w:rsidRDefault="00A3527F" w:rsidP="00421E8E">
      <w:pPr>
        <w:pStyle w:val="Sinespaciado"/>
        <w:jc w:val="both"/>
        <w:rPr>
          <w:i/>
          <w:iCs/>
        </w:rPr>
      </w:pPr>
      <w:r w:rsidRPr="00835574">
        <w:rPr>
          <w:i/>
          <w:iCs/>
        </w:rPr>
        <w:t>Actividad 2.1 Realizar las auditorías a los entes fiscalizables.</w:t>
      </w:r>
    </w:p>
    <w:p w14:paraId="0A71FAF2"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3EF034C7" w14:textId="77777777" w:rsidTr="00536713">
        <w:tc>
          <w:tcPr>
            <w:tcW w:w="2972" w:type="dxa"/>
          </w:tcPr>
          <w:p w14:paraId="51B4C245" w14:textId="77777777" w:rsidR="00A3527F" w:rsidRPr="00835574" w:rsidRDefault="00A3527F" w:rsidP="00421E8E">
            <w:pPr>
              <w:pStyle w:val="Sinespaciado"/>
              <w:jc w:val="both"/>
              <w:rPr>
                <w:i/>
                <w:iCs/>
              </w:rPr>
            </w:pPr>
            <w:r w:rsidRPr="00835574">
              <w:rPr>
                <w:i/>
                <w:iCs/>
              </w:rPr>
              <w:t>Nombre del indicador</w:t>
            </w:r>
          </w:p>
        </w:tc>
        <w:tc>
          <w:tcPr>
            <w:tcW w:w="5856" w:type="dxa"/>
          </w:tcPr>
          <w:p w14:paraId="1E8DBF4A" w14:textId="77777777" w:rsidR="00A3527F" w:rsidRPr="00835574" w:rsidRDefault="00A3527F" w:rsidP="00421E8E">
            <w:pPr>
              <w:pStyle w:val="Sinespaciado"/>
              <w:jc w:val="both"/>
              <w:rPr>
                <w:i/>
                <w:iCs/>
              </w:rPr>
            </w:pPr>
            <w:r w:rsidRPr="00835574">
              <w:rPr>
                <w:i/>
                <w:iCs/>
              </w:rPr>
              <w:t>Porcentaje de avance en la realización de auditorías</w:t>
            </w:r>
          </w:p>
        </w:tc>
      </w:tr>
      <w:tr w:rsidR="00835574" w:rsidRPr="00835574" w14:paraId="2DA50279" w14:textId="77777777" w:rsidTr="00536713">
        <w:tc>
          <w:tcPr>
            <w:tcW w:w="2972" w:type="dxa"/>
          </w:tcPr>
          <w:p w14:paraId="2025874B" w14:textId="77777777" w:rsidR="00A3527F" w:rsidRPr="00835574" w:rsidRDefault="00A3527F" w:rsidP="00421E8E">
            <w:pPr>
              <w:pStyle w:val="Sinespaciado"/>
              <w:jc w:val="both"/>
              <w:rPr>
                <w:i/>
                <w:iCs/>
              </w:rPr>
            </w:pPr>
            <w:r w:rsidRPr="00835574">
              <w:rPr>
                <w:i/>
                <w:iCs/>
              </w:rPr>
              <w:t>Tipo</w:t>
            </w:r>
          </w:p>
        </w:tc>
        <w:tc>
          <w:tcPr>
            <w:tcW w:w="5856" w:type="dxa"/>
          </w:tcPr>
          <w:p w14:paraId="5AC40948" w14:textId="77777777" w:rsidR="00A3527F" w:rsidRPr="00835574" w:rsidRDefault="00A3527F" w:rsidP="00421E8E">
            <w:pPr>
              <w:pStyle w:val="Sinespaciado"/>
              <w:jc w:val="both"/>
              <w:rPr>
                <w:i/>
                <w:iCs/>
              </w:rPr>
            </w:pPr>
            <w:r w:rsidRPr="00835574">
              <w:rPr>
                <w:i/>
                <w:iCs/>
              </w:rPr>
              <w:t>Gestión</w:t>
            </w:r>
          </w:p>
        </w:tc>
      </w:tr>
      <w:tr w:rsidR="00835574" w:rsidRPr="00835574" w14:paraId="6FF48585" w14:textId="77777777" w:rsidTr="00536713">
        <w:tc>
          <w:tcPr>
            <w:tcW w:w="2972" w:type="dxa"/>
          </w:tcPr>
          <w:p w14:paraId="2E5CA457" w14:textId="77777777" w:rsidR="00A3527F" w:rsidRPr="00835574" w:rsidRDefault="00A3527F" w:rsidP="00421E8E">
            <w:pPr>
              <w:pStyle w:val="Sinespaciado"/>
              <w:jc w:val="both"/>
              <w:rPr>
                <w:i/>
                <w:iCs/>
              </w:rPr>
            </w:pPr>
            <w:r w:rsidRPr="00835574">
              <w:rPr>
                <w:i/>
                <w:iCs/>
              </w:rPr>
              <w:t>Frecuencia de medición</w:t>
            </w:r>
          </w:p>
        </w:tc>
        <w:tc>
          <w:tcPr>
            <w:tcW w:w="5856" w:type="dxa"/>
          </w:tcPr>
          <w:p w14:paraId="331962EA" w14:textId="77777777" w:rsidR="00A3527F" w:rsidRPr="00835574" w:rsidRDefault="00A3527F" w:rsidP="00421E8E">
            <w:pPr>
              <w:pStyle w:val="Sinespaciado"/>
              <w:jc w:val="both"/>
              <w:rPr>
                <w:i/>
                <w:iCs/>
              </w:rPr>
            </w:pPr>
            <w:r w:rsidRPr="00835574">
              <w:rPr>
                <w:i/>
                <w:iCs/>
              </w:rPr>
              <w:t>Trimestral</w:t>
            </w:r>
          </w:p>
        </w:tc>
      </w:tr>
      <w:tr w:rsidR="00835574" w:rsidRPr="00835574" w14:paraId="564A0D88" w14:textId="77777777" w:rsidTr="00536713">
        <w:tc>
          <w:tcPr>
            <w:tcW w:w="2972" w:type="dxa"/>
          </w:tcPr>
          <w:p w14:paraId="12B32958" w14:textId="77777777" w:rsidR="00A3527F" w:rsidRPr="00835574" w:rsidRDefault="00A3527F" w:rsidP="00421E8E">
            <w:pPr>
              <w:pStyle w:val="Sinespaciado"/>
              <w:jc w:val="both"/>
              <w:rPr>
                <w:i/>
                <w:iCs/>
              </w:rPr>
            </w:pPr>
            <w:r w:rsidRPr="00835574">
              <w:rPr>
                <w:i/>
                <w:iCs/>
              </w:rPr>
              <w:t>Sentido</w:t>
            </w:r>
          </w:p>
        </w:tc>
        <w:tc>
          <w:tcPr>
            <w:tcW w:w="5856" w:type="dxa"/>
          </w:tcPr>
          <w:p w14:paraId="7E45C957" w14:textId="77777777" w:rsidR="00A3527F" w:rsidRPr="00835574" w:rsidRDefault="00A3527F" w:rsidP="00421E8E">
            <w:pPr>
              <w:pStyle w:val="Sinespaciado"/>
              <w:jc w:val="both"/>
              <w:rPr>
                <w:i/>
                <w:iCs/>
              </w:rPr>
            </w:pPr>
            <w:r w:rsidRPr="00835574">
              <w:rPr>
                <w:i/>
                <w:iCs/>
              </w:rPr>
              <w:t>Ascendente</w:t>
            </w:r>
          </w:p>
        </w:tc>
      </w:tr>
    </w:tbl>
    <w:p w14:paraId="71F60F37" w14:textId="77777777" w:rsidR="00A3527F" w:rsidRPr="00835574" w:rsidRDefault="00A3527F" w:rsidP="00421E8E">
      <w:pPr>
        <w:pStyle w:val="Sinespaciado"/>
        <w:jc w:val="both"/>
        <w:rPr>
          <w:i/>
          <w:iCs/>
        </w:rPr>
      </w:pPr>
    </w:p>
    <w:p w14:paraId="07B2B801" w14:textId="77777777" w:rsidR="00A3527F" w:rsidRPr="00835574" w:rsidRDefault="00A3527F" w:rsidP="00421E8E">
      <w:pPr>
        <w:pStyle w:val="Sinespaciado"/>
        <w:jc w:val="both"/>
        <w:rPr>
          <w:i/>
          <w:iCs/>
        </w:rPr>
      </w:pPr>
      <w:r w:rsidRPr="00835574">
        <w:rPr>
          <w:i/>
          <w:iCs/>
        </w:rPr>
        <w:t>Actividad 2.2 Realizar el seguimiento a los resultados y acciones promovidas de las auditorías.</w:t>
      </w:r>
    </w:p>
    <w:p w14:paraId="6E49BE20"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55ABCDCB" w14:textId="77777777" w:rsidTr="00536713">
        <w:tc>
          <w:tcPr>
            <w:tcW w:w="2972" w:type="dxa"/>
          </w:tcPr>
          <w:p w14:paraId="1E0FC192" w14:textId="77777777" w:rsidR="00A3527F" w:rsidRPr="00835574" w:rsidRDefault="00A3527F" w:rsidP="00421E8E">
            <w:pPr>
              <w:pStyle w:val="Sinespaciado"/>
              <w:jc w:val="both"/>
              <w:rPr>
                <w:i/>
                <w:iCs/>
              </w:rPr>
            </w:pPr>
            <w:r w:rsidRPr="00835574">
              <w:rPr>
                <w:i/>
                <w:iCs/>
              </w:rPr>
              <w:t>Nombre del indicador</w:t>
            </w:r>
          </w:p>
        </w:tc>
        <w:tc>
          <w:tcPr>
            <w:tcW w:w="5856" w:type="dxa"/>
          </w:tcPr>
          <w:p w14:paraId="5D81BFE6" w14:textId="77777777" w:rsidR="00A3527F" w:rsidRPr="00835574" w:rsidRDefault="00A3527F" w:rsidP="00421E8E">
            <w:pPr>
              <w:pStyle w:val="Sinespaciado"/>
              <w:jc w:val="both"/>
              <w:rPr>
                <w:i/>
                <w:iCs/>
              </w:rPr>
            </w:pPr>
            <w:r w:rsidRPr="00835574">
              <w:rPr>
                <w:i/>
                <w:iCs/>
              </w:rPr>
              <w:t>Porcentaje de avance del seguimiento de solventación de auditorías</w:t>
            </w:r>
          </w:p>
        </w:tc>
      </w:tr>
      <w:tr w:rsidR="00835574" w:rsidRPr="00835574" w14:paraId="70C3DE4F" w14:textId="77777777" w:rsidTr="00536713">
        <w:tc>
          <w:tcPr>
            <w:tcW w:w="2972" w:type="dxa"/>
          </w:tcPr>
          <w:p w14:paraId="3B02CC86" w14:textId="77777777" w:rsidR="00A3527F" w:rsidRPr="00835574" w:rsidRDefault="00A3527F" w:rsidP="00421E8E">
            <w:pPr>
              <w:pStyle w:val="Sinespaciado"/>
              <w:jc w:val="both"/>
              <w:rPr>
                <w:i/>
                <w:iCs/>
              </w:rPr>
            </w:pPr>
            <w:r w:rsidRPr="00835574">
              <w:rPr>
                <w:i/>
                <w:iCs/>
              </w:rPr>
              <w:t>Tipo</w:t>
            </w:r>
          </w:p>
        </w:tc>
        <w:tc>
          <w:tcPr>
            <w:tcW w:w="5856" w:type="dxa"/>
          </w:tcPr>
          <w:p w14:paraId="756CFA1B" w14:textId="77777777" w:rsidR="00A3527F" w:rsidRPr="00835574" w:rsidRDefault="00A3527F" w:rsidP="00421E8E">
            <w:pPr>
              <w:pStyle w:val="Sinespaciado"/>
              <w:jc w:val="both"/>
              <w:rPr>
                <w:i/>
                <w:iCs/>
              </w:rPr>
            </w:pPr>
            <w:r w:rsidRPr="00835574">
              <w:rPr>
                <w:i/>
                <w:iCs/>
              </w:rPr>
              <w:t>Gestión</w:t>
            </w:r>
          </w:p>
        </w:tc>
      </w:tr>
      <w:tr w:rsidR="00835574" w:rsidRPr="00835574" w14:paraId="2B66743C" w14:textId="77777777" w:rsidTr="00536713">
        <w:tc>
          <w:tcPr>
            <w:tcW w:w="2972" w:type="dxa"/>
          </w:tcPr>
          <w:p w14:paraId="25346A52" w14:textId="77777777" w:rsidR="00A3527F" w:rsidRPr="00835574" w:rsidRDefault="00A3527F" w:rsidP="00421E8E">
            <w:pPr>
              <w:pStyle w:val="Sinespaciado"/>
              <w:jc w:val="both"/>
              <w:rPr>
                <w:i/>
                <w:iCs/>
              </w:rPr>
            </w:pPr>
            <w:r w:rsidRPr="00835574">
              <w:rPr>
                <w:i/>
                <w:iCs/>
              </w:rPr>
              <w:t>Frecuencia de medición</w:t>
            </w:r>
          </w:p>
        </w:tc>
        <w:tc>
          <w:tcPr>
            <w:tcW w:w="5856" w:type="dxa"/>
          </w:tcPr>
          <w:p w14:paraId="66DF9BBC" w14:textId="77777777" w:rsidR="00A3527F" w:rsidRPr="00835574" w:rsidRDefault="00A3527F" w:rsidP="00421E8E">
            <w:pPr>
              <w:pStyle w:val="Sinespaciado"/>
              <w:jc w:val="both"/>
              <w:rPr>
                <w:i/>
                <w:iCs/>
              </w:rPr>
            </w:pPr>
            <w:r w:rsidRPr="00835574">
              <w:rPr>
                <w:i/>
                <w:iCs/>
              </w:rPr>
              <w:t>Trimestral</w:t>
            </w:r>
          </w:p>
        </w:tc>
      </w:tr>
      <w:tr w:rsidR="00835574" w:rsidRPr="00835574" w14:paraId="4A3F416E" w14:textId="77777777" w:rsidTr="00536713">
        <w:tc>
          <w:tcPr>
            <w:tcW w:w="2972" w:type="dxa"/>
          </w:tcPr>
          <w:p w14:paraId="1485DBB8" w14:textId="77777777" w:rsidR="00A3527F" w:rsidRPr="00835574" w:rsidRDefault="00A3527F" w:rsidP="00421E8E">
            <w:pPr>
              <w:pStyle w:val="Sinespaciado"/>
              <w:jc w:val="both"/>
              <w:rPr>
                <w:i/>
                <w:iCs/>
              </w:rPr>
            </w:pPr>
            <w:r w:rsidRPr="00835574">
              <w:rPr>
                <w:i/>
                <w:iCs/>
              </w:rPr>
              <w:t>Sentido</w:t>
            </w:r>
          </w:p>
        </w:tc>
        <w:tc>
          <w:tcPr>
            <w:tcW w:w="5856" w:type="dxa"/>
          </w:tcPr>
          <w:p w14:paraId="6E4AE4FA" w14:textId="77777777" w:rsidR="00A3527F" w:rsidRPr="00835574" w:rsidRDefault="00A3527F" w:rsidP="00421E8E">
            <w:pPr>
              <w:pStyle w:val="Sinespaciado"/>
              <w:jc w:val="both"/>
              <w:rPr>
                <w:i/>
                <w:iCs/>
              </w:rPr>
            </w:pPr>
            <w:r w:rsidRPr="00835574">
              <w:rPr>
                <w:i/>
                <w:iCs/>
              </w:rPr>
              <w:t>Ascendente</w:t>
            </w:r>
          </w:p>
        </w:tc>
      </w:tr>
    </w:tbl>
    <w:p w14:paraId="5031D073" w14:textId="77777777" w:rsidR="00A3527F" w:rsidRPr="00835574" w:rsidRDefault="00A3527F" w:rsidP="00421E8E">
      <w:pPr>
        <w:pStyle w:val="Sinespaciado"/>
        <w:jc w:val="both"/>
        <w:rPr>
          <w:i/>
          <w:iCs/>
        </w:rPr>
      </w:pPr>
    </w:p>
    <w:p w14:paraId="2216B2CE" w14:textId="77777777" w:rsidR="00A3527F" w:rsidRPr="00835574" w:rsidRDefault="00A3527F" w:rsidP="00421E8E">
      <w:pPr>
        <w:pStyle w:val="Sinespaciado"/>
        <w:jc w:val="both"/>
        <w:rPr>
          <w:i/>
          <w:iCs/>
        </w:rPr>
      </w:pPr>
      <w:r w:rsidRPr="00835574">
        <w:rPr>
          <w:i/>
          <w:iCs/>
          <w:u w:val="single"/>
        </w:rPr>
        <w:t>Componente 3</w:t>
      </w:r>
      <w:r w:rsidRPr="00835574">
        <w:rPr>
          <w:i/>
          <w:iCs/>
        </w:rPr>
        <w:t xml:space="preserve"> Investigaciones realizadas por la presunta responsabilidad de faltas administrativas.</w:t>
      </w:r>
    </w:p>
    <w:p w14:paraId="5BD6594F"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72C827A1" w14:textId="77777777" w:rsidTr="00536713">
        <w:tc>
          <w:tcPr>
            <w:tcW w:w="2972" w:type="dxa"/>
          </w:tcPr>
          <w:p w14:paraId="492D08AF" w14:textId="77777777" w:rsidR="00A3527F" w:rsidRPr="00835574" w:rsidRDefault="00A3527F" w:rsidP="00421E8E">
            <w:pPr>
              <w:pStyle w:val="Sinespaciado"/>
              <w:jc w:val="both"/>
              <w:rPr>
                <w:i/>
                <w:iCs/>
              </w:rPr>
            </w:pPr>
            <w:r w:rsidRPr="00835574">
              <w:rPr>
                <w:i/>
                <w:iCs/>
              </w:rPr>
              <w:t>Nombre del indicador</w:t>
            </w:r>
          </w:p>
        </w:tc>
        <w:tc>
          <w:tcPr>
            <w:tcW w:w="5856" w:type="dxa"/>
          </w:tcPr>
          <w:p w14:paraId="5FB30B5F" w14:textId="77777777" w:rsidR="00A3527F" w:rsidRPr="00835574" w:rsidRDefault="00A3527F" w:rsidP="00421E8E">
            <w:pPr>
              <w:pStyle w:val="Sinespaciado"/>
              <w:jc w:val="both"/>
              <w:rPr>
                <w:i/>
                <w:iCs/>
              </w:rPr>
            </w:pPr>
            <w:r w:rsidRPr="00835574">
              <w:rPr>
                <w:i/>
                <w:iCs/>
              </w:rPr>
              <w:t>Razón de investigaciones por la presunta Responsabilidad de faltas administrativas.</w:t>
            </w:r>
          </w:p>
        </w:tc>
      </w:tr>
      <w:tr w:rsidR="00835574" w:rsidRPr="00835574" w14:paraId="5AB42793" w14:textId="77777777" w:rsidTr="00536713">
        <w:tc>
          <w:tcPr>
            <w:tcW w:w="2972" w:type="dxa"/>
          </w:tcPr>
          <w:p w14:paraId="03A54FD1" w14:textId="77777777" w:rsidR="00A3527F" w:rsidRPr="00835574" w:rsidRDefault="00A3527F" w:rsidP="00421E8E">
            <w:pPr>
              <w:pStyle w:val="Sinespaciado"/>
              <w:jc w:val="both"/>
              <w:rPr>
                <w:i/>
                <w:iCs/>
              </w:rPr>
            </w:pPr>
            <w:r w:rsidRPr="00835574">
              <w:rPr>
                <w:i/>
                <w:iCs/>
              </w:rPr>
              <w:t>Tipo</w:t>
            </w:r>
          </w:p>
        </w:tc>
        <w:tc>
          <w:tcPr>
            <w:tcW w:w="5856" w:type="dxa"/>
          </w:tcPr>
          <w:p w14:paraId="77F3B002" w14:textId="77777777" w:rsidR="00A3527F" w:rsidRPr="00835574" w:rsidRDefault="00A3527F" w:rsidP="00421E8E">
            <w:pPr>
              <w:pStyle w:val="Sinespaciado"/>
              <w:jc w:val="both"/>
              <w:rPr>
                <w:i/>
                <w:iCs/>
              </w:rPr>
            </w:pPr>
            <w:r w:rsidRPr="00835574">
              <w:rPr>
                <w:i/>
                <w:iCs/>
              </w:rPr>
              <w:t>Gestión</w:t>
            </w:r>
          </w:p>
        </w:tc>
      </w:tr>
      <w:tr w:rsidR="00835574" w:rsidRPr="00835574" w14:paraId="7C0DE63D" w14:textId="77777777" w:rsidTr="00536713">
        <w:tc>
          <w:tcPr>
            <w:tcW w:w="2972" w:type="dxa"/>
          </w:tcPr>
          <w:p w14:paraId="4C5F0D24" w14:textId="77777777" w:rsidR="00A3527F" w:rsidRPr="00835574" w:rsidRDefault="00A3527F" w:rsidP="00421E8E">
            <w:pPr>
              <w:pStyle w:val="Sinespaciado"/>
              <w:jc w:val="both"/>
              <w:rPr>
                <w:i/>
                <w:iCs/>
              </w:rPr>
            </w:pPr>
            <w:r w:rsidRPr="00835574">
              <w:rPr>
                <w:i/>
                <w:iCs/>
              </w:rPr>
              <w:t>Frecuencia de medición</w:t>
            </w:r>
          </w:p>
        </w:tc>
        <w:tc>
          <w:tcPr>
            <w:tcW w:w="5856" w:type="dxa"/>
          </w:tcPr>
          <w:p w14:paraId="7587F6A4" w14:textId="77777777" w:rsidR="00A3527F" w:rsidRPr="00835574" w:rsidRDefault="00A3527F" w:rsidP="00421E8E">
            <w:pPr>
              <w:pStyle w:val="Sinespaciado"/>
              <w:jc w:val="both"/>
              <w:rPr>
                <w:i/>
                <w:iCs/>
              </w:rPr>
            </w:pPr>
            <w:r w:rsidRPr="00835574">
              <w:rPr>
                <w:i/>
                <w:iCs/>
              </w:rPr>
              <w:t>Semestral</w:t>
            </w:r>
          </w:p>
        </w:tc>
      </w:tr>
      <w:tr w:rsidR="00835574" w:rsidRPr="00835574" w14:paraId="41903F0B" w14:textId="77777777" w:rsidTr="00536713">
        <w:tc>
          <w:tcPr>
            <w:tcW w:w="2972" w:type="dxa"/>
          </w:tcPr>
          <w:p w14:paraId="3C46AB52" w14:textId="77777777" w:rsidR="00A3527F" w:rsidRPr="00835574" w:rsidRDefault="00A3527F" w:rsidP="00421E8E">
            <w:pPr>
              <w:pStyle w:val="Sinespaciado"/>
              <w:jc w:val="both"/>
              <w:rPr>
                <w:i/>
                <w:iCs/>
              </w:rPr>
            </w:pPr>
            <w:r w:rsidRPr="00835574">
              <w:rPr>
                <w:i/>
                <w:iCs/>
              </w:rPr>
              <w:t>Sentido</w:t>
            </w:r>
          </w:p>
        </w:tc>
        <w:tc>
          <w:tcPr>
            <w:tcW w:w="5856" w:type="dxa"/>
          </w:tcPr>
          <w:p w14:paraId="7E2737AF" w14:textId="77777777" w:rsidR="00A3527F" w:rsidRPr="00835574" w:rsidRDefault="00A3527F" w:rsidP="00421E8E">
            <w:pPr>
              <w:pStyle w:val="Sinespaciado"/>
              <w:jc w:val="both"/>
              <w:rPr>
                <w:i/>
                <w:iCs/>
              </w:rPr>
            </w:pPr>
            <w:r w:rsidRPr="00835574">
              <w:rPr>
                <w:i/>
                <w:iCs/>
              </w:rPr>
              <w:t>Descendente</w:t>
            </w:r>
          </w:p>
        </w:tc>
      </w:tr>
    </w:tbl>
    <w:p w14:paraId="55CF563F" w14:textId="77777777" w:rsidR="00A3527F" w:rsidRPr="00835574" w:rsidRDefault="00A3527F" w:rsidP="00421E8E">
      <w:pPr>
        <w:pStyle w:val="Sinespaciado"/>
        <w:jc w:val="both"/>
        <w:rPr>
          <w:i/>
          <w:iCs/>
        </w:rPr>
      </w:pPr>
    </w:p>
    <w:p w14:paraId="436D3EAE" w14:textId="77777777" w:rsidR="00583DDB" w:rsidRPr="00835574" w:rsidRDefault="00583DDB">
      <w:pPr>
        <w:rPr>
          <w:i/>
          <w:iCs/>
        </w:rPr>
      </w:pPr>
      <w:r w:rsidRPr="00835574">
        <w:rPr>
          <w:i/>
          <w:iCs/>
        </w:rPr>
        <w:br w:type="page"/>
      </w:r>
    </w:p>
    <w:p w14:paraId="0E2C9325" w14:textId="7752ED79" w:rsidR="00A3527F" w:rsidRPr="00835574" w:rsidRDefault="00A3527F" w:rsidP="00421E8E">
      <w:pPr>
        <w:pStyle w:val="Sinespaciado"/>
        <w:jc w:val="both"/>
        <w:rPr>
          <w:i/>
          <w:iCs/>
        </w:rPr>
      </w:pPr>
      <w:r w:rsidRPr="00835574">
        <w:rPr>
          <w:i/>
          <w:iCs/>
        </w:rPr>
        <w:lastRenderedPageBreak/>
        <w:t>Actividad 3.1 Integrar los expedientes de presunta responsabilidad administrativa.</w:t>
      </w:r>
    </w:p>
    <w:p w14:paraId="5F15A744"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1B47B4D8" w14:textId="77777777" w:rsidTr="00536713">
        <w:tc>
          <w:tcPr>
            <w:tcW w:w="2972" w:type="dxa"/>
          </w:tcPr>
          <w:p w14:paraId="5CBEB7B7" w14:textId="77777777" w:rsidR="00A3527F" w:rsidRPr="00835574" w:rsidRDefault="00A3527F" w:rsidP="00421E8E">
            <w:pPr>
              <w:pStyle w:val="Sinespaciado"/>
              <w:jc w:val="both"/>
              <w:rPr>
                <w:i/>
                <w:iCs/>
              </w:rPr>
            </w:pPr>
            <w:r w:rsidRPr="00835574">
              <w:rPr>
                <w:i/>
                <w:iCs/>
              </w:rPr>
              <w:t>Nombre del indicador</w:t>
            </w:r>
          </w:p>
        </w:tc>
        <w:tc>
          <w:tcPr>
            <w:tcW w:w="5856" w:type="dxa"/>
          </w:tcPr>
          <w:p w14:paraId="1B9AC36C" w14:textId="77777777" w:rsidR="00A3527F" w:rsidRPr="00835574" w:rsidRDefault="00A3527F" w:rsidP="00421E8E">
            <w:pPr>
              <w:pStyle w:val="Sinespaciado"/>
              <w:jc w:val="both"/>
              <w:rPr>
                <w:i/>
                <w:iCs/>
              </w:rPr>
            </w:pPr>
            <w:r w:rsidRPr="00835574">
              <w:rPr>
                <w:i/>
                <w:iCs/>
              </w:rPr>
              <w:t>Porcentaje de avance en la elaboración de expedientes de presunta responsabilidad administrativa</w:t>
            </w:r>
          </w:p>
        </w:tc>
      </w:tr>
      <w:tr w:rsidR="00835574" w:rsidRPr="00835574" w14:paraId="2A4BAEFA" w14:textId="77777777" w:rsidTr="00536713">
        <w:tc>
          <w:tcPr>
            <w:tcW w:w="2972" w:type="dxa"/>
          </w:tcPr>
          <w:p w14:paraId="28F17532" w14:textId="77777777" w:rsidR="00A3527F" w:rsidRPr="00835574" w:rsidRDefault="00A3527F" w:rsidP="00421E8E">
            <w:pPr>
              <w:pStyle w:val="Sinespaciado"/>
              <w:jc w:val="both"/>
              <w:rPr>
                <w:i/>
                <w:iCs/>
              </w:rPr>
            </w:pPr>
            <w:r w:rsidRPr="00835574">
              <w:rPr>
                <w:i/>
                <w:iCs/>
              </w:rPr>
              <w:t>Tipo</w:t>
            </w:r>
          </w:p>
        </w:tc>
        <w:tc>
          <w:tcPr>
            <w:tcW w:w="5856" w:type="dxa"/>
          </w:tcPr>
          <w:p w14:paraId="5229D7E1" w14:textId="77777777" w:rsidR="00A3527F" w:rsidRPr="00835574" w:rsidRDefault="00A3527F" w:rsidP="00421E8E">
            <w:pPr>
              <w:pStyle w:val="Sinespaciado"/>
              <w:jc w:val="both"/>
              <w:rPr>
                <w:i/>
                <w:iCs/>
              </w:rPr>
            </w:pPr>
            <w:r w:rsidRPr="00835574">
              <w:rPr>
                <w:i/>
                <w:iCs/>
              </w:rPr>
              <w:t>Gestión</w:t>
            </w:r>
          </w:p>
        </w:tc>
      </w:tr>
      <w:tr w:rsidR="00835574" w:rsidRPr="00835574" w14:paraId="600140FA" w14:textId="77777777" w:rsidTr="00536713">
        <w:tc>
          <w:tcPr>
            <w:tcW w:w="2972" w:type="dxa"/>
          </w:tcPr>
          <w:p w14:paraId="3484774D" w14:textId="77777777" w:rsidR="00A3527F" w:rsidRPr="00835574" w:rsidRDefault="00A3527F" w:rsidP="00421E8E">
            <w:pPr>
              <w:pStyle w:val="Sinespaciado"/>
              <w:jc w:val="both"/>
              <w:rPr>
                <w:i/>
                <w:iCs/>
              </w:rPr>
            </w:pPr>
            <w:r w:rsidRPr="00835574">
              <w:rPr>
                <w:i/>
                <w:iCs/>
              </w:rPr>
              <w:t>Frecuencia de medición</w:t>
            </w:r>
          </w:p>
        </w:tc>
        <w:tc>
          <w:tcPr>
            <w:tcW w:w="5856" w:type="dxa"/>
          </w:tcPr>
          <w:p w14:paraId="58E18D94" w14:textId="77777777" w:rsidR="00A3527F" w:rsidRPr="00835574" w:rsidRDefault="00A3527F" w:rsidP="00421E8E">
            <w:pPr>
              <w:pStyle w:val="Sinespaciado"/>
              <w:jc w:val="both"/>
              <w:rPr>
                <w:i/>
                <w:iCs/>
              </w:rPr>
            </w:pPr>
            <w:r w:rsidRPr="00835574">
              <w:rPr>
                <w:i/>
                <w:iCs/>
              </w:rPr>
              <w:t>Trimestral</w:t>
            </w:r>
          </w:p>
        </w:tc>
      </w:tr>
      <w:tr w:rsidR="00835574" w:rsidRPr="00835574" w14:paraId="44EB27A4" w14:textId="77777777" w:rsidTr="00536713">
        <w:tc>
          <w:tcPr>
            <w:tcW w:w="2972" w:type="dxa"/>
          </w:tcPr>
          <w:p w14:paraId="2B26AB56" w14:textId="77777777" w:rsidR="00A3527F" w:rsidRPr="00835574" w:rsidRDefault="00A3527F" w:rsidP="00421E8E">
            <w:pPr>
              <w:pStyle w:val="Sinespaciado"/>
              <w:jc w:val="both"/>
              <w:rPr>
                <w:i/>
                <w:iCs/>
              </w:rPr>
            </w:pPr>
            <w:r w:rsidRPr="00835574">
              <w:rPr>
                <w:i/>
                <w:iCs/>
              </w:rPr>
              <w:t>Sentido</w:t>
            </w:r>
          </w:p>
        </w:tc>
        <w:tc>
          <w:tcPr>
            <w:tcW w:w="5856" w:type="dxa"/>
          </w:tcPr>
          <w:p w14:paraId="0587C708" w14:textId="77777777" w:rsidR="00A3527F" w:rsidRPr="00835574" w:rsidRDefault="00A3527F" w:rsidP="00421E8E">
            <w:pPr>
              <w:pStyle w:val="Sinespaciado"/>
              <w:jc w:val="both"/>
              <w:rPr>
                <w:i/>
                <w:iCs/>
              </w:rPr>
            </w:pPr>
            <w:r w:rsidRPr="00835574">
              <w:rPr>
                <w:i/>
                <w:iCs/>
              </w:rPr>
              <w:t>Descendente</w:t>
            </w:r>
          </w:p>
        </w:tc>
      </w:tr>
    </w:tbl>
    <w:p w14:paraId="0C5C9F17" w14:textId="77777777" w:rsidR="00A3527F" w:rsidRPr="00835574" w:rsidRDefault="00A3527F" w:rsidP="00421E8E">
      <w:pPr>
        <w:pStyle w:val="Sinespaciado"/>
        <w:jc w:val="both"/>
        <w:rPr>
          <w:i/>
          <w:iCs/>
        </w:rPr>
      </w:pPr>
    </w:p>
    <w:p w14:paraId="584FE708" w14:textId="77777777" w:rsidR="00A3527F" w:rsidRPr="00835574" w:rsidRDefault="00A3527F" w:rsidP="00421E8E">
      <w:pPr>
        <w:pStyle w:val="Sinespaciado"/>
        <w:jc w:val="both"/>
        <w:rPr>
          <w:i/>
          <w:iCs/>
        </w:rPr>
      </w:pPr>
      <w:r w:rsidRPr="00835574">
        <w:rPr>
          <w:i/>
          <w:iCs/>
        </w:rPr>
        <w:t>Actividad 3.2 Enviar al Órgano Interno de Control las promociones de responsabilidad administrativa sancionatorias.</w:t>
      </w:r>
    </w:p>
    <w:p w14:paraId="0C5F0828" w14:textId="77777777" w:rsidR="00A3527F" w:rsidRPr="00835574" w:rsidRDefault="00A3527F" w:rsidP="00421E8E">
      <w:pPr>
        <w:pStyle w:val="Sinespaciado"/>
        <w:jc w:val="both"/>
        <w:rPr>
          <w:i/>
          <w:iCs/>
        </w:rPr>
      </w:pPr>
    </w:p>
    <w:tbl>
      <w:tblPr>
        <w:tblStyle w:val="Tablaconcuadrcula"/>
        <w:tblW w:w="0" w:type="auto"/>
        <w:tblLook w:val="04A0" w:firstRow="1" w:lastRow="0" w:firstColumn="1" w:lastColumn="0" w:noHBand="0" w:noVBand="1"/>
      </w:tblPr>
      <w:tblGrid>
        <w:gridCol w:w="2972"/>
        <w:gridCol w:w="5856"/>
      </w:tblGrid>
      <w:tr w:rsidR="00835574" w:rsidRPr="00835574" w14:paraId="3E4AE6BD" w14:textId="77777777" w:rsidTr="00536713">
        <w:tc>
          <w:tcPr>
            <w:tcW w:w="2972" w:type="dxa"/>
          </w:tcPr>
          <w:p w14:paraId="34C8AFBD" w14:textId="77777777" w:rsidR="00A3527F" w:rsidRPr="00835574" w:rsidRDefault="00A3527F" w:rsidP="00421E8E">
            <w:pPr>
              <w:pStyle w:val="Sinespaciado"/>
              <w:jc w:val="both"/>
              <w:rPr>
                <w:i/>
                <w:iCs/>
              </w:rPr>
            </w:pPr>
            <w:r w:rsidRPr="00835574">
              <w:rPr>
                <w:i/>
                <w:iCs/>
              </w:rPr>
              <w:t>Nombre del indicador</w:t>
            </w:r>
          </w:p>
        </w:tc>
        <w:tc>
          <w:tcPr>
            <w:tcW w:w="5856" w:type="dxa"/>
          </w:tcPr>
          <w:p w14:paraId="120AAAE6" w14:textId="77777777" w:rsidR="00A3527F" w:rsidRPr="00835574" w:rsidRDefault="00A3527F" w:rsidP="00421E8E">
            <w:pPr>
              <w:pStyle w:val="Sinespaciado"/>
              <w:jc w:val="both"/>
              <w:rPr>
                <w:i/>
                <w:iCs/>
              </w:rPr>
            </w:pPr>
            <w:r w:rsidRPr="00835574">
              <w:rPr>
                <w:i/>
                <w:iCs/>
              </w:rPr>
              <w:t>Porcentaje de promociones de responsabilidad administrativa sancionatorias enviadas al órgano interno de control</w:t>
            </w:r>
          </w:p>
        </w:tc>
      </w:tr>
      <w:tr w:rsidR="00835574" w:rsidRPr="00835574" w14:paraId="3F5FCBB9" w14:textId="77777777" w:rsidTr="00536713">
        <w:tc>
          <w:tcPr>
            <w:tcW w:w="2972" w:type="dxa"/>
          </w:tcPr>
          <w:p w14:paraId="5A82A871" w14:textId="77777777" w:rsidR="00A3527F" w:rsidRPr="00835574" w:rsidRDefault="00A3527F" w:rsidP="00421E8E">
            <w:pPr>
              <w:pStyle w:val="Sinespaciado"/>
              <w:jc w:val="both"/>
              <w:rPr>
                <w:i/>
                <w:iCs/>
              </w:rPr>
            </w:pPr>
            <w:r w:rsidRPr="00835574">
              <w:rPr>
                <w:i/>
                <w:iCs/>
              </w:rPr>
              <w:t>Tipo</w:t>
            </w:r>
          </w:p>
        </w:tc>
        <w:tc>
          <w:tcPr>
            <w:tcW w:w="5856" w:type="dxa"/>
          </w:tcPr>
          <w:p w14:paraId="6184D156" w14:textId="77777777" w:rsidR="00A3527F" w:rsidRPr="00835574" w:rsidRDefault="00A3527F" w:rsidP="00421E8E">
            <w:pPr>
              <w:pStyle w:val="Sinespaciado"/>
              <w:jc w:val="both"/>
              <w:rPr>
                <w:i/>
                <w:iCs/>
              </w:rPr>
            </w:pPr>
            <w:r w:rsidRPr="00835574">
              <w:rPr>
                <w:i/>
                <w:iCs/>
              </w:rPr>
              <w:t>Gestión</w:t>
            </w:r>
          </w:p>
        </w:tc>
      </w:tr>
      <w:tr w:rsidR="00835574" w:rsidRPr="00835574" w14:paraId="4413A10D" w14:textId="77777777" w:rsidTr="00536713">
        <w:tc>
          <w:tcPr>
            <w:tcW w:w="2972" w:type="dxa"/>
          </w:tcPr>
          <w:p w14:paraId="59175F3B" w14:textId="77777777" w:rsidR="00A3527F" w:rsidRPr="00835574" w:rsidRDefault="00A3527F" w:rsidP="00421E8E">
            <w:pPr>
              <w:pStyle w:val="Sinespaciado"/>
              <w:jc w:val="both"/>
              <w:rPr>
                <w:i/>
                <w:iCs/>
              </w:rPr>
            </w:pPr>
            <w:r w:rsidRPr="00835574">
              <w:rPr>
                <w:i/>
                <w:iCs/>
              </w:rPr>
              <w:t>Frecuencia de medición</w:t>
            </w:r>
          </w:p>
        </w:tc>
        <w:tc>
          <w:tcPr>
            <w:tcW w:w="5856" w:type="dxa"/>
          </w:tcPr>
          <w:p w14:paraId="70AD5144" w14:textId="77777777" w:rsidR="00A3527F" w:rsidRPr="00835574" w:rsidRDefault="00A3527F" w:rsidP="00421E8E">
            <w:pPr>
              <w:pStyle w:val="Sinespaciado"/>
              <w:jc w:val="both"/>
              <w:rPr>
                <w:i/>
                <w:iCs/>
              </w:rPr>
            </w:pPr>
            <w:r w:rsidRPr="00835574">
              <w:rPr>
                <w:i/>
                <w:iCs/>
              </w:rPr>
              <w:t>Trimestral</w:t>
            </w:r>
          </w:p>
        </w:tc>
      </w:tr>
      <w:tr w:rsidR="00835574" w:rsidRPr="00835574" w14:paraId="7CF02389" w14:textId="77777777" w:rsidTr="00536713">
        <w:tc>
          <w:tcPr>
            <w:tcW w:w="2972" w:type="dxa"/>
          </w:tcPr>
          <w:p w14:paraId="40165999" w14:textId="77777777" w:rsidR="00A3527F" w:rsidRPr="00835574" w:rsidRDefault="00A3527F" w:rsidP="00421E8E">
            <w:pPr>
              <w:pStyle w:val="Sinespaciado"/>
              <w:jc w:val="both"/>
              <w:rPr>
                <w:i/>
                <w:iCs/>
              </w:rPr>
            </w:pPr>
            <w:r w:rsidRPr="00835574">
              <w:rPr>
                <w:i/>
                <w:iCs/>
              </w:rPr>
              <w:t>Sentido</w:t>
            </w:r>
          </w:p>
        </w:tc>
        <w:tc>
          <w:tcPr>
            <w:tcW w:w="5856" w:type="dxa"/>
          </w:tcPr>
          <w:p w14:paraId="34780F4F" w14:textId="77777777" w:rsidR="00A3527F" w:rsidRPr="00835574" w:rsidRDefault="00A3527F" w:rsidP="00421E8E">
            <w:pPr>
              <w:pStyle w:val="Sinespaciado"/>
              <w:jc w:val="both"/>
              <w:rPr>
                <w:i/>
                <w:iCs/>
              </w:rPr>
            </w:pPr>
            <w:r w:rsidRPr="00835574">
              <w:rPr>
                <w:i/>
                <w:iCs/>
              </w:rPr>
              <w:t>Descendente</w:t>
            </w:r>
          </w:p>
        </w:tc>
      </w:tr>
    </w:tbl>
    <w:p w14:paraId="6E93565F" w14:textId="77777777" w:rsidR="00A3527F" w:rsidRPr="00835574" w:rsidRDefault="00A3527F" w:rsidP="00421E8E">
      <w:pPr>
        <w:pStyle w:val="Sinespaciado"/>
        <w:jc w:val="both"/>
        <w:rPr>
          <w:i/>
          <w:iCs/>
        </w:rPr>
      </w:pPr>
    </w:p>
    <w:p w14:paraId="5429A440" w14:textId="780BA255" w:rsidR="00F81AFF" w:rsidRPr="00835574" w:rsidRDefault="00A3527F" w:rsidP="00421E8E">
      <w:pPr>
        <w:pStyle w:val="Sinespaciado"/>
        <w:jc w:val="both"/>
        <w:rPr>
          <w:i/>
          <w:iCs/>
        </w:rPr>
      </w:pPr>
      <w:r w:rsidRPr="00835574">
        <w:rPr>
          <w:i/>
          <w:iCs/>
        </w:rPr>
        <w:t>Las metas específicas para el ejercicio 2023, serán determinadas durante el proceso de integración del Programa Operativo Anual 2023, de acuerdo los indicadores anteriormente mencionados.</w:t>
      </w:r>
    </w:p>
    <w:p w14:paraId="636E9422" w14:textId="2435CC39" w:rsidR="00F81AFF" w:rsidRPr="00835574" w:rsidRDefault="00F81AFF" w:rsidP="00421E8E">
      <w:pPr>
        <w:pStyle w:val="Sinespaciado"/>
        <w:jc w:val="both"/>
        <w:rPr>
          <w:i/>
          <w:iCs/>
        </w:rPr>
      </w:pPr>
    </w:p>
    <w:p w14:paraId="008BCBA2" w14:textId="77777777" w:rsidR="009919DB" w:rsidRPr="00835574" w:rsidRDefault="009919DB" w:rsidP="009919DB">
      <w:pPr>
        <w:pStyle w:val="Sinespaciado"/>
        <w:numPr>
          <w:ilvl w:val="0"/>
          <w:numId w:val="4"/>
        </w:numPr>
        <w:jc w:val="both"/>
        <w:rPr>
          <w:b/>
          <w:bCs/>
          <w:i/>
          <w:iCs/>
        </w:rPr>
      </w:pPr>
      <w:r w:rsidRPr="00835574">
        <w:rPr>
          <w:b/>
          <w:bCs/>
          <w:i/>
          <w:iCs/>
        </w:rPr>
        <w:t>TRIBUNAL SUPERIOR DE JUSTICIA.</w:t>
      </w:r>
    </w:p>
    <w:p w14:paraId="0E0FB309" w14:textId="77777777" w:rsidR="009919DB" w:rsidRPr="00835574" w:rsidRDefault="009919DB" w:rsidP="009919DB">
      <w:pPr>
        <w:pStyle w:val="Sinespaciado"/>
        <w:jc w:val="both"/>
        <w:rPr>
          <w:i/>
          <w:iCs/>
        </w:rPr>
      </w:pPr>
    </w:p>
    <w:p w14:paraId="0B54280E" w14:textId="77777777" w:rsidR="009919DB" w:rsidRPr="00835574" w:rsidRDefault="009919DB" w:rsidP="009919DB">
      <w:pPr>
        <w:pStyle w:val="Sinespaciado"/>
        <w:jc w:val="both"/>
        <w:rPr>
          <w:rFonts w:eastAsia="Times New Roman"/>
          <w:b/>
          <w:bCs/>
          <w:i/>
          <w:iCs/>
          <w:lang w:eastAsia="es-MX"/>
        </w:rPr>
      </w:pPr>
      <w:r w:rsidRPr="00835574">
        <w:rPr>
          <w:rFonts w:eastAsia="Times New Roman"/>
          <w:b/>
          <w:bCs/>
          <w:i/>
          <w:iCs/>
          <w:lang w:eastAsia="es-MX"/>
        </w:rPr>
        <w:t>PRESENTACIÓN</w:t>
      </w:r>
    </w:p>
    <w:p w14:paraId="36916083" w14:textId="77777777" w:rsidR="009919DB" w:rsidRPr="00835574" w:rsidRDefault="009919DB" w:rsidP="009919DB">
      <w:pPr>
        <w:pStyle w:val="Sinespaciado"/>
        <w:jc w:val="both"/>
        <w:rPr>
          <w:rFonts w:eastAsia="Times New Roman"/>
          <w:b/>
          <w:bCs/>
          <w:i/>
          <w:iCs/>
          <w:lang w:eastAsia="es-MX"/>
        </w:rPr>
      </w:pPr>
    </w:p>
    <w:p w14:paraId="0230655C" w14:textId="77777777" w:rsidR="009919DB" w:rsidRPr="00835574" w:rsidRDefault="009919DB" w:rsidP="009919DB">
      <w:pPr>
        <w:pStyle w:val="Sinespaciado"/>
        <w:jc w:val="both"/>
        <w:rPr>
          <w:i/>
          <w:iCs/>
        </w:rPr>
      </w:pPr>
      <w:r w:rsidRPr="00835574">
        <w:rPr>
          <w:i/>
          <w:iCs/>
        </w:rPr>
        <w:t xml:space="preserve">Se emiten las Políticas de gasto, que contienen los lineamientos para efectuar las gestiones necesarias para la solicitud, trámite, ejercicio de los recursos y requisitos a los que habrá de sujetarse la documentación comprobatoria del gasto, misma que son de observancia obligatoria para todas las áreas administrativas y jurisdiccionales del Consejo de la Judicatura del Poder Judicial, que comprende del 1 de enero al 31 de diciembre de cada ejercicio fiscal, tomando en cuenta la situación del déficit presupuestal y las necesidades de la misma, por ningún caso podrán contratar compromisos con posterioridad al término de la vigencia de su presupuesto aprobado, ni comprometer anticipadamente recursos financieros del ejercicio fiscal siguiente, además es necesario implementar estrategias como guía, sobre todo para el ejercicio del gasto público para la consecución de los </w:t>
      </w:r>
      <w:r w:rsidRPr="00835574">
        <w:rPr>
          <w:b/>
          <w:i/>
          <w:iCs/>
        </w:rPr>
        <w:t xml:space="preserve">objetivos anuales, estrategias y metas </w:t>
      </w:r>
      <w:r w:rsidRPr="00835574">
        <w:rPr>
          <w:i/>
          <w:iCs/>
        </w:rPr>
        <w:t>del gasto, proyectadas para el ejercicio 2023.</w:t>
      </w:r>
    </w:p>
    <w:p w14:paraId="15AD3B76" w14:textId="77777777" w:rsidR="009919DB" w:rsidRPr="00835574" w:rsidRDefault="009919DB" w:rsidP="009919DB">
      <w:pPr>
        <w:pStyle w:val="Sinespaciado"/>
        <w:jc w:val="both"/>
        <w:rPr>
          <w:i/>
          <w:iCs/>
        </w:rPr>
      </w:pPr>
    </w:p>
    <w:p w14:paraId="31CEEAD2" w14:textId="77777777" w:rsidR="009919DB" w:rsidRPr="00835574" w:rsidRDefault="009919DB" w:rsidP="009919DB">
      <w:pPr>
        <w:pStyle w:val="Sinespaciado"/>
        <w:jc w:val="both"/>
        <w:rPr>
          <w:rFonts w:eastAsia="Times New Roman"/>
          <w:b/>
          <w:bCs/>
          <w:i/>
          <w:iCs/>
          <w:lang w:eastAsia="es-MX"/>
        </w:rPr>
      </w:pPr>
      <w:r w:rsidRPr="00835574">
        <w:rPr>
          <w:rFonts w:eastAsia="Times New Roman"/>
          <w:b/>
          <w:bCs/>
          <w:i/>
          <w:iCs/>
          <w:lang w:eastAsia="es-MX"/>
        </w:rPr>
        <w:t>CONTENIDO</w:t>
      </w:r>
    </w:p>
    <w:p w14:paraId="6A1359AC" w14:textId="77777777" w:rsidR="009919DB" w:rsidRPr="00835574" w:rsidRDefault="009919DB" w:rsidP="009919DB">
      <w:pPr>
        <w:pStyle w:val="Sinespaciado"/>
        <w:jc w:val="both"/>
        <w:rPr>
          <w:rFonts w:eastAsia="Times New Roman"/>
          <w:i/>
          <w:iCs/>
          <w:lang w:eastAsia="es-MX"/>
        </w:rPr>
      </w:pPr>
    </w:p>
    <w:p w14:paraId="7984CB67" w14:textId="05384050" w:rsidR="005E631A" w:rsidRDefault="009919DB" w:rsidP="009919DB">
      <w:pPr>
        <w:pStyle w:val="Sinespaciado"/>
        <w:jc w:val="both"/>
        <w:rPr>
          <w:rFonts w:eastAsia="Times New Roman"/>
          <w:i/>
          <w:iCs/>
          <w:lang w:val="es-ES" w:eastAsia="es-ES"/>
        </w:rPr>
      </w:pPr>
      <w:r w:rsidRPr="00835574">
        <w:rPr>
          <w:rFonts w:eastAsia="Times New Roman"/>
          <w:i/>
          <w:iCs/>
          <w:lang w:val="es-ES" w:eastAsia="es-ES"/>
        </w:rPr>
        <w:t>Las siguientes políticas de austeridad, permitirá garantizar un manejo transparente y eficiente de los recursos, bajo el contexto de racionalidad y disciplina presupuestal para la consecución de los objetivos institucionales</w:t>
      </w:r>
      <w:r w:rsidR="005E631A">
        <w:rPr>
          <w:rFonts w:eastAsia="Times New Roman"/>
          <w:i/>
          <w:iCs/>
          <w:lang w:val="es-ES" w:eastAsia="es-ES"/>
        </w:rPr>
        <w:t>.</w:t>
      </w:r>
    </w:p>
    <w:p w14:paraId="1132C842" w14:textId="77777777" w:rsidR="005E631A" w:rsidRDefault="005E631A" w:rsidP="009919DB">
      <w:pPr>
        <w:pStyle w:val="Sinespaciado"/>
        <w:jc w:val="both"/>
        <w:rPr>
          <w:rFonts w:eastAsia="Times New Roman"/>
          <w:i/>
          <w:iCs/>
          <w:lang w:val="es-ES" w:eastAsia="es-ES"/>
        </w:rPr>
      </w:pPr>
    </w:p>
    <w:p w14:paraId="5989D740" w14:textId="767C14B1" w:rsidR="009919DB" w:rsidRPr="00835574" w:rsidRDefault="009919DB" w:rsidP="009919DB">
      <w:pPr>
        <w:pStyle w:val="Sinespaciado"/>
        <w:jc w:val="both"/>
        <w:rPr>
          <w:rFonts w:eastAsia="Times New Roman"/>
          <w:b/>
          <w:bCs/>
          <w:i/>
          <w:iCs/>
          <w:lang w:val="es-ES" w:eastAsia="es-ES"/>
        </w:rPr>
      </w:pPr>
      <w:r w:rsidRPr="00835574">
        <w:rPr>
          <w:rFonts w:eastAsia="Times New Roman"/>
          <w:b/>
          <w:bCs/>
          <w:i/>
          <w:iCs/>
          <w:lang w:val="es-ES" w:eastAsia="es-ES"/>
        </w:rPr>
        <w:t>MATERIALES Y SUMISTROS.</w:t>
      </w:r>
    </w:p>
    <w:p w14:paraId="181385F3" w14:textId="77777777" w:rsidR="009919DB" w:rsidRPr="00835574" w:rsidRDefault="009919DB" w:rsidP="009919DB">
      <w:pPr>
        <w:pStyle w:val="Sinespaciado"/>
        <w:jc w:val="both"/>
        <w:rPr>
          <w:rFonts w:eastAsia="Times New Roman"/>
          <w:b/>
          <w:bCs/>
          <w:i/>
          <w:iCs/>
          <w:lang w:eastAsia="es-MX"/>
        </w:rPr>
      </w:pPr>
    </w:p>
    <w:p w14:paraId="40066AA2" w14:textId="77777777" w:rsidR="009919DB" w:rsidRPr="00835574" w:rsidRDefault="009919DB" w:rsidP="009919DB">
      <w:pPr>
        <w:pStyle w:val="Sinespaciado"/>
        <w:numPr>
          <w:ilvl w:val="0"/>
          <w:numId w:val="6"/>
        </w:numPr>
        <w:jc w:val="both"/>
        <w:rPr>
          <w:rFonts w:eastAsia="Times New Roman"/>
          <w:i/>
          <w:iCs/>
          <w:lang w:eastAsia="es-ES"/>
        </w:rPr>
      </w:pPr>
      <w:r w:rsidRPr="00835574">
        <w:rPr>
          <w:rFonts w:eastAsia="Times New Roman"/>
          <w:i/>
          <w:iCs/>
          <w:lang w:val="es-ES" w:eastAsia="es-ES"/>
        </w:rPr>
        <w:t xml:space="preserve">Hacer uso con alto sentido de responsabilidad institucional de: material de oficina, tinta y tóner de impresoras, fotocopias, energía eléctrica, agua, teléfono y vehículos de la institución, los Directores, </w:t>
      </w:r>
      <w:r w:rsidRPr="00835574">
        <w:rPr>
          <w:rFonts w:eastAsia="Times New Roman"/>
          <w:i/>
          <w:iCs/>
          <w:lang w:eastAsia="es-ES"/>
        </w:rPr>
        <w:t xml:space="preserve">Coordinadores, </w:t>
      </w:r>
      <w:r w:rsidRPr="00835574">
        <w:rPr>
          <w:rFonts w:eastAsia="Times New Roman"/>
          <w:i/>
          <w:iCs/>
          <w:lang w:val="es-ES" w:eastAsia="es-ES"/>
        </w:rPr>
        <w:t xml:space="preserve">Jefes de unidad, Jefes de Departamento,  deberán establecer </w:t>
      </w:r>
      <w:r w:rsidRPr="00835574">
        <w:rPr>
          <w:rFonts w:eastAsia="Times New Roman"/>
          <w:b/>
          <w:i/>
          <w:iCs/>
          <w:lang w:val="es-ES" w:eastAsia="es-ES"/>
        </w:rPr>
        <w:t>medidas de ahorro</w:t>
      </w:r>
      <w:r w:rsidRPr="00835574">
        <w:rPr>
          <w:rFonts w:eastAsia="Times New Roman"/>
          <w:i/>
          <w:iCs/>
          <w:lang w:val="es-ES" w:eastAsia="es-ES"/>
        </w:rPr>
        <w:t xml:space="preserve"> al interior de su área de responsabilidad, ejemplo: rehúso de papel, verificar que efectivamente estén apagados los equipos de cómputo, sumadoras, focos, lámparas y demás equipo electrónico al momento de salir de la jornada de trabajo o de la institución, las llamadas telefónicas deberán ser exclusivamente oficiales, y en caso de las llamadas personales el costo de estas, será descontado del pago de nómina, fotocopiar documentos oficiales solo cuando sea necesario, usar el internet solo en caso necesario, entre otros que en el ámbito de competencia laboral se puedan implementar.</w:t>
      </w:r>
    </w:p>
    <w:p w14:paraId="51359AE6" w14:textId="77777777" w:rsidR="009919DB" w:rsidRPr="00835574" w:rsidRDefault="009919DB" w:rsidP="009919DB">
      <w:pPr>
        <w:pStyle w:val="Sinespaciado"/>
        <w:jc w:val="both"/>
        <w:rPr>
          <w:rFonts w:eastAsia="Times New Roman"/>
          <w:i/>
          <w:iCs/>
          <w:lang w:eastAsia="es-ES"/>
        </w:rPr>
      </w:pPr>
    </w:p>
    <w:p w14:paraId="275AC47B" w14:textId="77777777" w:rsidR="00BB52A9" w:rsidRPr="00835574" w:rsidRDefault="009919DB" w:rsidP="009919DB">
      <w:pPr>
        <w:pStyle w:val="Sinespaciado"/>
        <w:numPr>
          <w:ilvl w:val="0"/>
          <w:numId w:val="6"/>
        </w:numPr>
        <w:jc w:val="both"/>
        <w:rPr>
          <w:rFonts w:eastAsia="Times New Roman"/>
          <w:b/>
          <w:i/>
          <w:iCs/>
          <w:lang w:eastAsia="es-ES"/>
        </w:rPr>
      </w:pPr>
      <w:r w:rsidRPr="00835574">
        <w:rPr>
          <w:rFonts w:eastAsia="Times New Roman"/>
          <w:i/>
          <w:iCs/>
          <w:lang w:eastAsia="es-ES"/>
        </w:rPr>
        <w:t>Para llevar a cabo las compras de papelería y tóner, deberán sujetarse a los procedimientos de adjudicación establecidos en la Normatividad para el Ejercicio del Presupuesto vigente, no debiendo fraccionar las compras. Deberá evitarse el desperdicio y uso indebido de papel, utilizando el reverso de las hojas, reutilizando para ejercicios, borradores, notas, etc., y revisando la pertinencia de reducir los turnos (c.c.p.) en los oficios que envíen, sustituyendo dichas copias por medio digital y por envíos en medio electrónico, revisar periódicamente la existencia de materiales en sus respectivas áreas y solicitar las requisiciones únicamente lo indispensable.</w:t>
      </w:r>
    </w:p>
    <w:p w14:paraId="60305EED" w14:textId="77777777" w:rsidR="00BB52A9" w:rsidRPr="00835574" w:rsidRDefault="00BB52A9" w:rsidP="00BB52A9">
      <w:pPr>
        <w:pStyle w:val="Prrafodelista"/>
        <w:spacing w:after="0"/>
        <w:rPr>
          <w:rFonts w:eastAsia="Times New Roman"/>
          <w:bCs/>
          <w:i/>
          <w:iCs/>
          <w:lang w:eastAsia="es-ES"/>
        </w:rPr>
      </w:pPr>
    </w:p>
    <w:p w14:paraId="1C958C5A" w14:textId="77777777" w:rsidR="00BB52A9" w:rsidRPr="00835574" w:rsidRDefault="009919DB" w:rsidP="00BB52A9">
      <w:pPr>
        <w:pStyle w:val="Sinespaciado"/>
        <w:ind w:left="720"/>
        <w:jc w:val="both"/>
        <w:rPr>
          <w:rFonts w:eastAsia="Times New Roman"/>
          <w:bCs/>
          <w:i/>
          <w:iCs/>
          <w:lang w:eastAsia="es-ES"/>
        </w:rPr>
      </w:pPr>
      <w:r w:rsidRPr="00835574">
        <w:rPr>
          <w:rFonts w:eastAsia="Times New Roman"/>
          <w:bCs/>
          <w:i/>
          <w:iCs/>
          <w:lang w:eastAsia="es-ES"/>
        </w:rPr>
        <w:t>Con el propósito de eficientar el manejo y uso de los artículos no prioritarios tales como; correctores líquidos, papel, post-it, marcadores de aceite, bolígrafos de gel, calculadoras, libretas de pasta dura, carpetas o folders plastificados, portaminas, sujetapapeles, tarjeteros, directorios, agendas, portadiurex, organizadores de escritorio y portalápices.</w:t>
      </w:r>
    </w:p>
    <w:p w14:paraId="29408ED3" w14:textId="77777777" w:rsidR="00BB52A9" w:rsidRPr="00835574" w:rsidRDefault="00BB52A9" w:rsidP="00BB52A9">
      <w:pPr>
        <w:pStyle w:val="Sinespaciado"/>
        <w:ind w:left="720"/>
        <w:jc w:val="both"/>
        <w:rPr>
          <w:rFonts w:eastAsia="Times New Roman"/>
          <w:bCs/>
          <w:i/>
          <w:iCs/>
          <w:lang w:eastAsia="es-ES"/>
        </w:rPr>
      </w:pPr>
    </w:p>
    <w:p w14:paraId="0B40609A" w14:textId="30362BF1" w:rsidR="009919DB" w:rsidRPr="00835574" w:rsidRDefault="009919DB" w:rsidP="00BB52A9">
      <w:pPr>
        <w:pStyle w:val="Sinespaciado"/>
        <w:ind w:left="720"/>
        <w:jc w:val="both"/>
        <w:rPr>
          <w:rFonts w:eastAsia="Times New Roman"/>
          <w:b/>
          <w:i/>
          <w:iCs/>
          <w:lang w:eastAsia="es-ES"/>
        </w:rPr>
      </w:pPr>
      <w:r w:rsidRPr="00835574">
        <w:rPr>
          <w:rFonts w:eastAsia="Times New Roman"/>
          <w:bCs/>
          <w:i/>
          <w:iCs/>
          <w:lang w:eastAsia="es-ES"/>
        </w:rPr>
        <w:t xml:space="preserve">Tratándose de cutter, tijeras, engrapadoras, perforadoras, y otros bienes semiduraderos, se proveerán como máximo dos veces al año, bajo el criterio de revisión y en su caso se suministrará su reposición. </w:t>
      </w:r>
    </w:p>
    <w:p w14:paraId="3FC6AB78" w14:textId="77777777" w:rsidR="009919DB" w:rsidRPr="00835574" w:rsidRDefault="009919DB" w:rsidP="009919DB">
      <w:pPr>
        <w:pStyle w:val="Sinespaciado"/>
        <w:jc w:val="both"/>
        <w:rPr>
          <w:rFonts w:eastAsia="Times New Roman"/>
          <w:b/>
          <w:i/>
          <w:iCs/>
          <w:lang w:eastAsia="es-ES"/>
        </w:rPr>
      </w:pPr>
    </w:p>
    <w:p w14:paraId="43ACE4EC" w14:textId="77777777" w:rsidR="009919DB" w:rsidRPr="00835574" w:rsidRDefault="009919DB" w:rsidP="009919DB">
      <w:pPr>
        <w:pStyle w:val="Sinespaciado"/>
        <w:numPr>
          <w:ilvl w:val="0"/>
          <w:numId w:val="6"/>
        </w:numPr>
        <w:jc w:val="both"/>
        <w:rPr>
          <w:rFonts w:eastAsia="Times New Roman"/>
          <w:i/>
          <w:iCs/>
          <w:lang w:eastAsia="es-ES"/>
        </w:rPr>
      </w:pPr>
      <w:r w:rsidRPr="00835574">
        <w:rPr>
          <w:rFonts w:eastAsia="Times New Roman"/>
          <w:i/>
          <w:iCs/>
          <w:lang w:val="es-ES" w:eastAsia="es-ES"/>
        </w:rPr>
        <w:t>Tratándose de proyectos especiales se requiere solicitar autorización de la Dirección de Planeación e Informática presentando lo siguiente:</w:t>
      </w:r>
    </w:p>
    <w:p w14:paraId="5AD712C4" w14:textId="77777777" w:rsidR="009919DB" w:rsidRPr="00835574" w:rsidRDefault="009919DB" w:rsidP="009919DB">
      <w:pPr>
        <w:pStyle w:val="Sinespaciado"/>
        <w:jc w:val="both"/>
        <w:rPr>
          <w:rFonts w:eastAsia="Times New Roman"/>
          <w:i/>
          <w:iCs/>
          <w:lang w:eastAsia="es-ES"/>
        </w:rPr>
      </w:pPr>
    </w:p>
    <w:p w14:paraId="07F7CBAA" w14:textId="77777777" w:rsidR="009919DB" w:rsidRPr="00835574" w:rsidRDefault="009919DB" w:rsidP="009919DB">
      <w:pPr>
        <w:pStyle w:val="Sinespaciado"/>
        <w:numPr>
          <w:ilvl w:val="0"/>
          <w:numId w:val="5"/>
        </w:numPr>
        <w:jc w:val="both"/>
        <w:rPr>
          <w:rFonts w:eastAsia="Times New Roman"/>
          <w:i/>
          <w:iCs/>
          <w:lang w:val="es-ES" w:eastAsia="es-ES"/>
        </w:rPr>
      </w:pPr>
      <w:r w:rsidRPr="00835574">
        <w:rPr>
          <w:rFonts w:eastAsia="Times New Roman"/>
          <w:i/>
          <w:iCs/>
          <w:lang w:val="es-ES" w:eastAsia="es-ES"/>
        </w:rPr>
        <w:t>Programa de trabajo</w:t>
      </w:r>
    </w:p>
    <w:p w14:paraId="484CDFCC" w14:textId="77777777" w:rsidR="009919DB" w:rsidRPr="00835574" w:rsidRDefault="009919DB" w:rsidP="009919DB">
      <w:pPr>
        <w:pStyle w:val="Sinespaciado"/>
        <w:numPr>
          <w:ilvl w:val="0"/>
          <w:numId w:val="5"/>
        </w:numPr>
        <w:jc w:val="both"/>
        <w:rPr>
          <w:rFonts w:eastAsia="Times New Roman"/>
          <w:i/>
          <w:iCs/>
          <w:lang w:val="es-ES" w:eastAsia="es-ES"/>
        </w:rPr>
      </w:pPr>
      <w:r w:rsidRPr="00835574">
        <w:rPr>
          <w:rFonts w:eastAsia="Times New Roman"/>
          <w:i/>
          <w:iCs/>
          <w:lang w:val="es-ES" w:eastAsia="es-ES"/>
        </w:rPr>
        <w:t>Presupuesto detallado del evento de que se trate</w:t>
      </w:r>
    </w:p>
    <w:p w14:paraId="483260F0" w14:textId="77777777" w:rsidR="009919DB" w:rsidRPr="00835574" w:rsidRDefault="009919DB" w:rsidP="009919DB">
      <w:pPr>
        <w:pStyle w:val="Sinespaciado"/>
        <w:numPr>
          <w:ilvl w:val="0"/>
          <w:numId w:val="5"/>
        </w:numPr>
        <w:jc w:val="both"/>
        <w:rPr>
          <w:rFonts w:eastAsia="Times New Roman"/>
          <w:i/>
          <w:iCs/>
          <w:lang w:val="es-ES" w:eastAsia="es-ES"/>
        </w:rPr>
      </w:pPr>
      <w:r w:rsidRPr="00835574">
        <w:rPr>
          <w:rFonts w:eastAsia="Times New Roman"/>
          <w:i/>
          <w:iCs/>
          <w:lang w:val="es-ES" w:eastAsia="es-ES"/>
        </w:rPr>
        <w:t>Anexar los documentos (programa y presupuesto) a las facturas que se deriven del ejercicio de los recursos autorizados en estos conceptos.</w:t>
      </w:r>
    </w:p>
    <w:p w14:paraId="4FBDAA22" w14:textId="77777777" w:rsidR="009919DB" w:rsidRPr="00835574" w:rsidRDefault="009919DB" w:rsidP="009919DB">
      <w:pPr>
        <w:pStyle w:val="Sinespaciado"/>
        <w:jc w:val="both"/>
        <w:rPr>
          <w:rFonts w:eastAsia="Times New Roman"/>
          <w:i/>
          <w:iCs/>
          <w:lang w:val="es-ES" w:eastAsia="es-ES"/>
        </w:rPr>
      </w:pPr>
    </w:p>
    <w:p w14:paraId="3A34B71D" w14:textId="14BE9E34" w:rsidR="009919DB" w:rsidRPr="00835574" w:rsidRDefault="009919DB" w:rsidP="009919DB">
      <w:pPr>
        <w:pStyle w:val="Sinespaciado"/>
        <w:numPr>
          <w:ilvl w:val="0"/>
          <w:numId w:val="6"/>
        </w:numPr>
        <w:jc w:val="both"/>
        <w:rPr>
          <w:rFonts w:eastAsia="Times New Roman"/>
          <w:i/>
          <w:iCs/>
          <w:lang w:val="es-ES" w:eastAsia="es-ES"/>
        </w:rPr>
      </w:pPr>
      <w:r w:rsidRPr="00835574">
        <w:rPr>
          <w:rFonts w:eastAsia="Times New Roman"/>
          <w:i/>
          <w:iCs/>
          <w:lang w:val="es-ES" w:eastAsia="es-ES"/>
        </w:rPr>
        <w:lastRenderedPageBreak/>
        <w:t>No contraer ningún compromiso de gasto si no se cuenta con la disponibilidad presupuestal, ya que no se autorizarán asignaciones presupuestales adicionales, para el cumplimiento de las metas programadas, salvo aquellas que deriven de reformas legales y proyectos nuevos por los Plenos del Poder Judicial; por lo que tratándose de los casos antes citado</w:t>
      </w:r>
      <w:r w:rsidR="00436534" w:rsidRPr="00835574">
        <w:rPr>
          <w:rFonts w:eastAsia="Times New Roman"/>
          <w:i/>
          <w:iCs/>
          <w:lang w:val="es-ES" w:eastAsia="es-ES"/>
        </w:rPr>
        <w:t>s</w:t>
      </w:r>
      <w:r w:rsidRPr="00835574">
        <w:rPr>
          <w:rFonts w:eastAsia="Times New Roman"/>
          <w:i/>
          <w:iCs/>
          <w:lang w:val="es-ES" w:eastAsia="es-ES"/>
        </w:rPr>
        <w:t xml:space="preserve">, deberán solicitar la autorización oportuna a la Dirección de Planeación, e Informática; p.ej. impresos, capacitaciones, asesorías, reuniones y convenciones entre otros.  </w:t>
      </w:r>
    </w:p>
    <w:p w14:paraId="1361A86F" w14:textId="77777777" w:rsidR="009919DB" w:rsidRPr="00835574" w:rsidRDefault="009919DB" w:rsidP="009919DB">
      <w:pPr>
        <w:pStyle w:val="Sinespaciado"/>
        <w:jc w:val="both"/>
        <w:rPr>
          <w:rFonts w:eastAsia="Times New Roman"/>
          <w:i/>
          <w:iCs/>
          <w:lang w:val="es-ES" w:eastAsia="es-ES"/>
        </w:rPr>
      </w:pPr>
    </w:p>
    <w:p w14:paraId="24875616" w14:textId="77777777" w:rsidR="009919DB" w:rsidRPr="00835574" w:rsidRDefault="009919DB" w:rsidP="009919DB">
      <w:pPr>
        <w:pStyle w:val="Sinespaciado"/>
        <w:jc w:val="both"/>
        <w:rPr>
          <w:rFonts w:eastAsia="Times New Roman"/>
          <w:b/>
          <w:bCs/>
          <w:i/>
          <w:iCs/>
          <w:lang w:val="es-ES" w:eastAsia="es-ES"/>
        </w:rPr>
      </w:pPr>
      <w:r w:rsidRPr="00835574">
        <w:rPr>
          <w:rFonts w:eastAsia="Times New Roman"/>
          <w:b/>
          <w:bCs/>
          <w:i/>
          <w:iCs/>
          <w:lang w:val="es-ES" w:eastAsia="es-ES"/>
        </w:rPr>
        <w:t>SERVICIOS GENERALES</w:t>
      </w:r>
    </w:p>
    <w:p w14:paraId="76FE4076" w14:textId="77777777" w:rsidR="009919DB" w:rsidRPr="00835574" w:rsidRDefault="009919DB" w:rsidP="009919DB">
      <w:pPr>
        <w:pStyle w:val="Sinespaciado"/>
        <w:jc w:val="both"/>
        <w:rPr>
          <w:rFonts w:eastAsia="Times New Roman"/>
          <w:b/>
          <w:bCs/>
          <w:i/>
          <w:iCs/>
          <w:lang w:val="es-ES" w:eastAsia="es-ES"/>
        </w:rPr>
      </w:pPr>
    </w:p>
    <w:p w14:paraId="12FBF118" w14:textId="77777777" w:rsidR="009919DB" w:rsidRPr="00835574" w:rsidRDefault="009919DB" w:rsidP="009919DB">
      <w:pPr>
        <w:pStyle w:val="Sinespaciado"/>
        <w:jc w:val="both"/>
        <w:rPr>
          <w:rFonts w:eastAsia="Times New Roman"/>
          <w:i/>
          <w:iCs/>
          <w:lang w:val="es-ES" w:eastAsia="es-ES"/>
        </w:rPr>
      </w:pPr>
      <w:r w:rsidRPr="00835574">
        <w:rPr>
          <w:rFonts w:eastAsia="Times New Roman"/>
          <w:i/>
          <w:iCs/>
          <w:lang w:val="es-ES" w:eastAsia="es-ES"/>
        </w:rPr>
        <w:t>En apego a lo establecido en el Capítulo III del Decreto de Presupuesto de Egresos del Estado de Oaxaca para el ejercicio fiscal 2023, el ejercicio de los recursos se apegue estrictamente a sus necesidades y a lo establecido en las disposiciones legales aplicables.</w:t>
      </w:r>
    </w:p>
    <w:p w14:paraId="665CF3DE" w14:textId="77777777" w:rsidR="009919DB" w:rsidRPr="00835574" w:rsidRDefault="009919DB" w:rsidP="009919DB">
      <w:pPr>
        <w:pStyle w:val="Sinespaciado"/>
        <w:jc w:val="both"/>
        <w:rPr>
          <w:rFonts w:eastAsia="Times New Roman"/>
          <w:i/>
          <w:iCs/>
          <w:lang w:val="es-ES" w:eastAsia="es-ES"/>
        </w:rPr>
      </w:pPr>
    </w:p>
    <w:p w14:paraId="170476CC" w14:textId="77777777" w:rsidR="009919DB" w:rsidRPr="00835574" w:rsidRDefault="009919DB" w:rsidP="009919DB">
      <w:pPr>
        <w:pStyle w:val="Sinespaciado"/>
        <w:numPr>
          <w:ilvl w:val="0"/>
          <w:numId w:val="6"/>
        </w:numPr>
        <w:jc w:val="both"/>
        <w:rPr>
          <w:rFonts w:eastAsia="Times New Roman"/>
          <w:i/>
          <w:iCs/>
          <w:lang w:val="es-ES" w:eastAsia="es-ES"/>
        </w:rPr>
      </w:pPr>
      <w:r w:rsidRPr="00835574">
        <w:rPr>
          <w:rFonts w:eastAsia="Times New Roman"/>
          <w:i/>
          <w:iCs/>
          <w:lang w:val="es-ES" w:eastAsia="es-ES"/>
        </w:rPr>
        <w:t>Previo a la contratación de los servicios: energía eléctrica, teléfonos convencionales y celulares, agua potable, arrendamiento de inmuebles y muebles, deberá confirmarse la disponibilidad de recursos presupuestarios y obtener la autorización de la Dirección de Planeación e Informática.</w:t>
      </w:r>
    </w:p>
    <w:p w14:paraId="214E4036" w14:textId="77777777" w:rsidR="009919DB" w:rsidRPr="00835574" w:rsidRDefault="009919DB" w:rsidP="009919DB">
      <w:pPr>
        <w:pStyle w:val="Sinespaciado"/>
        <w:jc w:val="both"/>
        <w:rPr>
          <w:rFonts w:eastAsia="Times New Roman"/>
          <w:i/>
          <w:iCs/>
          <w:lang w:val="es-ES" w:eastAsia="es-ES"/>
        </w:rPr>
      </w:pPr>
    </w:p>
    <w:p w14:paraId="5102CAFC" w14:textId="532021B9" w:rsidR="009919DB" w:rsidRPr="00835574" w:rsidRDefault="009919DB" w:rsidP="009919DB">
      <w:pPr>
        <w:pStyle w:val="Sinespaciado"/>
        <w:jc w:val="both"/>
        <w:rPr>
          <w:rFonts w:eastAsia="Times New Roman"/>
          <w:i/>
          <w:iCs/>
          <w:lang w:val="es-ES" w:eastAsia="es-ES"/>
        </w:rPr>
      </w:pPr>
      <w:r w:rsidRPr="00835574">
        <w:rPr>
          <w:rFonts w:eastAsia="Times New Roman"/>
          <w:i/>
          <w:iCs/>
          <w:lang w:val="es-ES" w:eastAsia="es-ES"/>
        </w:rPr>
        <w:t>El gasto por servicio de telefonía celular está autorizado exclusivamente para el Presidente (a), Secretario (a) General de Acuerdos del Tribunal Superior de Justicia.</w:t>
      </w:r>
    </w:p>
    <w:p w14:paraId="7332151D" w14:textId="77777777" w:rsidR="009919DB" w:rsidRPr="00835574" w:rsidRDefault="009919DB" w:rsidP="009919DB">
      <w:pPr>
        <w:pStyle w:val="Sinespaciado"/>
        <w:jc w:val="both"/>
        <w:rPr>
          <w:rFonts w:eastAsia="Times New Roman"/>
          <w:i/>
          <w:iCs/>
          <w:lang w:val="es-ES" w:eastAsia="es-ES"/>
        </w:rPr>
      </w:pPr>
    </w:p>
    <w:p w14:paraId="6360E521" w14:textId="77777777" w:rsidR="009919DB" w:rsidRPr="00835574" w:rsidRDefault="009919DB" w:rsidP="009919DB">
      <w:pPr>
        <w:pStyle w:val="Sinespaciado"/>
        <w:numPr>
          <w:ilvl w:val="0"/>
          <w:numId w:val="6"/>
        </w:numPr>
        <w:jc w:val="both"/>
        <w:rPr>
          <w:rFonts w:eastAsia="Times New Roman"/>
          <w:i/>
          <w:iCs/>
          <w:lang w:val="es-ES" w:eastAsia="es-ES"/>
        </w:rPr>
      </w:pPr>
      <w:r w:rsidRPr="00835574">
        <w:rPr>
          <w:rFonts w:eastAsia="Times New Roman"/>
          <w:bCs/>
          <w:i/>
          <w:iCs/>
          <w:snapToGrid w:val="0"/>
          <w:lang w:val="es-ES" w:eastAsia="es-ES"/>
        </w:rPr>
        <w:t>Queda estrictamente prohibido pagar notas o facturas por combustibles cuando se realicen comisiones dentro de la Ciudad de Oaxaca o de su lugar de adscripción</w:t>
      </w:r>
      <w:r w:rsidRPr="00835574">
        <w:rPr>
          <w:rFonts w:eastAsia="Times New Roman"/>
          <w:b/>
          <w:bCs/>
          <w:i/>
          <w:iCs/>
          <w:snapToGrid w:val="0"/>
          <w:lang w:val="es-ES" w:eastAsia="es-ES"/>
        </w:rPr>
        <w:t>.</w:t>
      </w:r>
    </w:p>
    <w:p w14:paraId="17431CE6" w14:textId="77777777" w:rsidR="009919DB" w:rsidRPr="00835574" w:rsidRDefault="009919DB" w:rsidP="009919DB">
      <w:pPr>
        <w:pStyle w:val="Sinespaciado"/>
        <w:jc w:val="both"/>
        <w:rPr>
          <w:rFonts w:eastAsia="Times New Roman"/>
          <w:i/>
          <w:iCs/>
          <w:lang w:val="es-ES" w:eastAsia="es-ES"/>
        </w:rPr>
      </w:pPr>
    </w:p>
    <w:p w14:paraId="04B86B57" w14:textId="77777777" w:rsidR="009919DB" w:rsidRPr="00835574" w:rsidRDefault="009919DB" w:rsidP="009919DB">
      <w:pPr>
        <w:pStyle w:val="Sinespaciado"/>
        <w:numPr>
          <w:ilvl w:val="0"/>
          <w:numId w:val="6"/>
        </w:numPr>
        <w:jc w:val="both"/>
        <w:rPr>
          <w:rFonts w:eastAsia="Times New Roman"/>
          <w:i/>
          <w:iCs/>
          <w:lang w:val="es-ES" w:eastAsia="es-ES"/>
        </w:rPr>
      </w:pPr>
      <w:r w:rsidRPr="00835574">
        <w:rPr>
          <w:rFonts w:eastAsia="Times New Roman"/>
          <w:i/>
          <w:iCs/>
          <w:snapToGrid w:val="0"/>
          <w:lang w:val="es-ES" w:eastAsia="es-ES"/>
        </w:rPr>
        <w:t xml:space="preserve">Sólo se autorizarán boletos de avión a Magistrados y Consejeros. </w:t>
      </w:r>
    </w:p>
    <w:p w14:paraId="31FA9C88" w14:textId="77777777" w:rsidR="009919DB" w:rsidRPr="00835574" w:rsidRDefault="009919DB" w:rsidP="009919DB">
      <w:pPr>
        <w:pStyle w:val="Sinespaciado"/>
        <w:jc w:val="both"/>
        <w:rPr>
          <w:rFonts w:eastAsia="Times New Roman"/>
          <w:i/>
          <w:iCs/>
          <w:lang w:val="es-ES" w:eastAsia="es-ES"/>
        </w:rPr>
      </w:pPr>
    </w:p>
    <w:p w14:paraId="7653E286" w14:textId="77777777" w:rsidR="009919DB" w:rsidRPr="00835574" w:rsidRDefault="009919DB" w:rsidP="009919DB">
      <w:pPr>
        <w:pStyle w:val="Sinespaciado"/>
        <w:jc w:val="both"/>
        <w:rPr>
          <w:rFonts w:eastAsia="Times New Roman"/>
          <w:i/>
          <w:iCs/>
          <w:lang w:val="es-ES" w:eastAsia="es-ES"/>
        </w:rPr>
      </w:pPr>
      <w:r w:rsidRPr="00835574">
        <w:rPr>
          <w:rFonts w:eastAsia="Times New Roman"/>
          <w:i/>
          <w:iCs/>
          <w:lang w:val="es-ES" w:eastAsia="es-ES"/>
        </w:rPr>
        <w:t>Los pasajes aéreos deberán contratarse en clase turista, no se autorizarán cargos adicionales, debiendo presentar la factura electrónica del boleto y pase de abordar como comprobantes oficiales.</w:t>
      </w:r>
    </w:p>
    <w:p w14:paraId="0B2615B6" w14:textId="77777777" w:rsidR="009919DB" w:rsidRPr="00835574" w:rsidRDefault="009919DB" w:rsidP="009919DB">
      <w:pPr>
        <w:pStyle w:val="Sinespaciado"/>
        <w:jc w:val="both"/>
        <w:rPr>
          <w:rFonts w:eastAsia="Times New Roman"/>
          <w:i/>
          <w:iCs/>
          <w:lang w:val="es-ES" w:eastAsia="es-ES"/>
        </w:rPr>
      </w:pPr>
    </w:p>
    <w:p w14:paraId="4F1B914D" w14:textId="77777777" w:rsidR="009919DB" w:rsidRPr="00835574" w:rsidRDefault="009919DB" w:rsidP="009919DB">
      <w:pPr>
        <w:pStyle w:val="Sinespaciado"/>
        <w:jc w:val="both"/>
        <w:rPr>
          <w:rFonts w:eastAsia="Times New Roman"/>
          <w:i/>
          <w:iCs/>
          <w:lang w:val="es-ES" w:eastAsia="es-ES"/>
        </w:rPr>
      </w:pPr>
      <w:r w:rsidRPr="00835574">
        <w:rPr>
          <w:rFonts w:eastAsia="Times New Roman"/>
          <w:b/>
          <w:bCs/>
          <w:i/>
          <w:iCs/>
          <w:lang w:val="es-ES" w:eastAsia="es-ES"/>
        </w:rPr>
        <w:t>De los viáticos</w:t>
      </w:r>
      <w:r w:rsidRPr="00835574">
        <w:rPr>
          <w:rFonts w:eastAsia="Times New Roman"/>
          <w:i/>
          <w:iCs/>
          <w:lang w:val="es-ES" w:eastAsia="es-ES"/>
        </w:rPr>
        <w:t>:</w:t>
      </w:r>
    </w:p>
    <w:p w14:paraId="6FA21AED" w14:textId="77777777" w:rsidR="009919DB" w:rsidRPr="00835574" w:rsidRDefault="009919DB" w:rsidP="009919DB">
      <w:pPr>
        <w:pStyle w:val="Sinespaciado"/>
        <w:jc w:val="both"/>
        <w:rPr>
          <w:rFonts w:eastAsia="Times New Roman"/>
          <w:i/>
          <w:iCs/>
          <w:lang w:val="es-ES" w:eastAsia="es-ES"/>
        </w:rPr>
      </w:pPr>
    </w:p>
    <w:p w14:paraId="38EFDBC7" w14:textId="77777777" w:rsidR="009919DB" w:rsidRPr="00835574" w:rsidRDefault="009919DB" w:rsidP="009919DB">
      <w:pPr>
        <w:pStyle w:val="Sinespaciado"/>
        <w:jc w:val="both"/>
        <w:rPr>
          <w:rFonts w:eastAsia="Times New Roman"/>
          <w:i/>
          <w:iCs/>
          <w:lang w:val="es-ES" w:eastAsia="es-ES"/>
        </w:rPr>
      </w:pPr>
      <w:r w:rsidRPr="00835574">
        <w:rPr>
          <w:rFonts w:eastAsia="Times New Roman"/>
          <w:i/>
          <w:iCs/>
          <w:lang w:val="es-ES" w:eastAsia="es-ES"/>
        </w:rPr>
        <w:t>Los viáticos incluyen hospedaje, transporte local, estacionamiento, alimentación, y el costo de llamadas telefónicas oficiales.</w:t>
      </w:r>
    </w:p>
    <w:p w14:paraId="64CF2780" w14:textId="77777777" w:rsidR="009919DB" w:rsidRPr="00835574" w:rsidRDefault="009919DB" w:rsidP="009919DB">
      <w:pPr>
        <w:pStyle w:val="Sinespaciado"/>
        <w:jc w:val="both"/>
        <w:rPr>
          <w:rFonts w:eastAsia="Times New Roman"/>
          <w:i/>
          <w:iCs/>
          <w:lang w:val="es-ES" w:eastAsia="es-ES"/>
        </w:rPr>
      </w:pPr>
    </w:p>
    <w:p w14:paraId="7A2B3AE7" w14:textId="77777777" w:rsidR="009919DB" w:rsidRPr="00835574" w:rsidRDefault="009919DB" w:rsidP="009919DB">
      <w:pPr>
        <w:pStyle w:val="Sinespaciado"/>
        <w:jc w:val="both"/>
        <w:rPr>
          <w:rFonts w:eastAsia="Times New Roman"/>
          <w:i/>
          <w:iCs/>
          <w:lang w:val="es-ES" w:eastAsia="es-ES"/>
        </w:rPr>
      </w:pPr>
      <w:r w:rsidRPr="00835574">
        <w:rPr>
          <w:rFonts w:eastAsia="Times New Roman"/>
          <w:i/>
          <w:iCs/>
          <w:lang w:val="es-ES" w:eastAsia="es-ES"/>
        </w:rPr>
        <w:t>No deberán otorgarse a personal que se encuentra en periodo vacacional, permiso económico, incapacidad médica o licencia sin goce de sueldo.</w:t>
      </w:r>
    </w:p>
    <w:p w14:paraId="677FB537" w14:textId="77777777" w:rsidR="009919DB" w:rsidRPr="00835574" w:rsidRDefault="009919DB" w:rsidP="009919DB">
      <w:pPr>
        <w:pStyle w:val="Sinespaciado"/>
        <w:jc w:val="both"/>
        <w:rPr>
          <w:rFonts w:eastAsia="Times New Roman"/>
          <w:i/>
          <w:iCs/>
          <w:lang w:val="es-ES" w:eastAsia="es-ES"/>
        </w:rPr>
      </w:pPr>
    </w:p>
    <w:p w14:paraId="558BEF34" w14:textId="77777777" w:rsidR="005E631A" w:rsidRDefault="009919DB" w:rsidP="009919DB">
      <w:pPr>
        <w:pStyle w:val="Sinespaciado"/>
        <w:jc w:val="both"/>
        <w:rPr>
          <w:rFonts w:eastAsia="Times New Roman"/>
          <w:i/>
          <w:iCs/>
          <w:lang w:val="es-ES" w:eastAsia="es-ES"/>
        </w:rPr>
      </w:pPr>
      <w:r w:rsidRPr="00835574">
        <w:rPr>
          <w:rFonts w:eastAsia="Times New Roman"/>
          <w:i/>
          <w:iCs/>
          <w:lang w:val="es-ES" w:eastAsia="es-ES"/>
        </w:rPr>
        <w:t>Y correrán a partir del día de la comisión hasta el término de la misma, sin tomar en consideración los días por traslado.</w:t>
      </w:r>
    </w:p>
    <w:p w14:paraId="51938197" w14:textId="77777777" w:rsidR="005E631A" w:rsidRDefault="005E631A" w:rsidP="009919DB">
      <w:pPr>
        <w:pStyle w:val="Sinespaciado"/>
        <w:jc w:val="both"/>
        <w:rPr>
          <w:rFonts w:eastAsia="Times New Roman"/>
          <w:i/>
          <w:iCs/>
          <w:lang w:val="es-ES" w:eastAsia="es-ES"/>
        </w:rPr>
      </w:pPr>
    </w:p>
    <w:p w14:paraId="095C9BE3" w14:textId="74649420" w:rsidR="009919DB" w:rsidRPr="00835574" w:rsidRDefault="009919DB" w:rsidP="009919DB">
      <w:pPr>
        <w:pStyle w:val="Sinespaciado"/>
        <w:jc w:val="both"/>
        <w:rPr>
          <w:rFonts w:eastAsia="Times New Roman"/>
          <w:i/>
          <w:iCs/>
          <w:lang w:val="es-ES" w:eastAsia="es-ES"/>
        </w:rPr>
      </w:pPr>
      <w:r w:rsidRPr="00835574">
        <w:rPr>
          <w:rFonts w:eastAsia="Times New Roman"/>
          <w:b/>
          <w:bCs/>
          <w:i/>
          <w:iCs/>
          <w:lang w:val="es-ES" w:eastAsia="es-ES"/>
        </w:rPr>
        <w:lastRenderedPageBreak/>
        <w:t xml:space="preserve">Los gastos de comisión </w:t>
      </w:r>
      <w:r w:rsidRPr="00835574">
        <w:rPr>
          <w:rFonts w:eastAsia="Times New Roman"/>
          <w:i/>
          <w:iCs/>
          <w:lang w:val="es-ES" w:eastAsia="es-ES"/>
        </w:rPr>
        <w:t>se utilizarán para el pago de comidas a trabajadores que laboren fuera de su horario normal; y a los que viajen en el desempeño de comisiones oficiales fuera de sus horarios de labores, incluyen gasto de trasporte y será el equivalente a un salario mínimo por día.</w:t>
      </w:r>
    </w:p>
    <w:p w14:paraId="40D5164D" w14:textId="77777777" w:rsidR="009919DB" w:rsidRPr="00835574" w:rsidRDefault="009919DB" w:rsidP="009919DB">
      <w:pPr>
        <w:pStyle w:val="Sinespaciado"/>
        <w:jc w:val="both"/>
        <w:rPr>
          <w:rFonts w:eastAsia="Times New Roman"/>
          <w:i/>
          <w:iCs/>
          <w:lang w:val="es-ES" w:eastAsia="es-ES"/>
        </w:rPr>
      </w:pPr>
    </w:p>
    <w:p w14:paraId="49C562B6" w14:textId="77777777" w:rsidR="009919DB" w:rsidRPr="00835574" w:rsidRDefault="009919DB">
      <w:pPr>
        <w:pStyle w:val="Sinespaciado"/>
        <w:numPr>
          <w:ilvl w:val="0"/>
          <w:numId w:val="28"/>
        </w:numPr>
        <w:jc w:val="both"/>
        <w:rPr>
          <w:rFonts w:eastAsia="Times New Roman"/>
          <w:i/>
          <w:iCs/>
          <w:lang w:val="es-ES" w:eastAsia="es-ES"/>
        </w:rPr>
      </w:pPr>
      <w:r w:rsidRPr="00835574">
        <w:rPr>
          <w:rFonts w:eastAsia="Times New Roman"/>
          <w:i/>
          <w:iCs/>
          <w:snapToGrid w:val="0"/>
          <w:lang w:val="es-ES" w:eastAsia="es-ES"/>
        </w:rPr>
        <w:t>Los Juzgados foráneos que no cuenten con vehículo oficial, el pago de transporte procederá únicamente cuando el gasto sea justificado, anexando la copia fotostática de la diligencia.</w:t>
      </w:r>
    </w:p>
    <w:p w14:paraId="3468B8AF" w14:textId="77777777" w:rsidR="009919DB" w:rsidRPr="00835574" w:rsidRDefault="009919DB" w:rsidP="009919DB">
      <w:pPr>
        <w:pStyle w:val="Sinespaciado"/>
        <w:jc w:val="both"/>
        <w:rPr>
          <w:rFonts w:eastAsia="Times New Roman"/>
          <w:i/>
          <w:iCs/>
          <w:lang w:val="es-ES" w:eastAsia="es-ES"/>
        </w:rPr>
      </w:pPr>
    </w:p>
    <w:p w14:paraId="3081DFE0" w14:textId="77777777" w:rsidR="009919DB" w:rsidRPr="00835574" w:rsidRDefault="009919DB">
      <w:pPr>
        <w:pStyle w:val="Sinespaciado"/>
        <w:numPr>
          <w:ilvl w:val="0"/>
          <w:numId w:val="28"/>
        </w:numPr>
        <w:jc w:val="both"/>
        <w:rPr>
          <w:rFonts w:eastAsia="Times New Roman"/>
          <w:i/>
          <w:iCs/>
          <w:lang w:eastAsia="es-ES"/>
        </w:rPr>
      </w:pPr>
      <w:r w:rsidRPr="00835574">
        <w:rPr>
          <w:rFonts w:eastAsia="Times New Roman"/>
          <w:i/>
          <w:iCs/>
          <w:lang w:val="es-ES" w:eastAsia="es-ES"/>
        </w:rPr>
        <w:t>No se deberá adquirir directamente activo fijo (ventiladores, reguladores, impresoras, etc.), las únicas áreas autorizadas para ello son la Dirección de Administración y la Dirección de Gestión Administrativa a través de la Unidad de Recursos Materiales y Servicios Generales, en su caso.</w:t>
      </w:r>
    </w:p>
    <w:p w14:paraId="0176671A" w14:textId="77777777" w:rsidR="009919DB" w:rsidRPr="00835574" w:rsidRDefault="009919DB" w:rsidP="009919DB">
      <w:pPr>
        <w:pStyle w:val="Sinespaciado"/>
        <w:jc w:val="both"/>
        <w:rPr>
          <w:rFonts w:eastAsia="Times New Roman"/>
          <w:i/>
          <w:iCs/>
          <w:lang w:eastAsia="es-ES"/>
        </w:rPr>
      </w:pPr>
    </w:p>
    <w:p w14:paraId="365DF1F0" w14:textId="77777777" w:rsidR="009919DB" w:rsidRPr="00835574" w:rsidRDefault="009919DB">
      <w:pPr>
        <w:pStyle w:val="Sinespaciado"/>
        <w:numPr>
          <w:ilvl w:val="0"/>
          <w:numId w:val="28"/>
        </w:numPr>
        <w:jc w:val="both"/>
        <w:rPr>
          <w:rFonts w:eastAsia="Times New Roman"/>
          <w:i/>
          <w:iCs/>
          <w:lang w:eastAsia="es-ES"/>
        </w:rPr>
      </w:pPr>
      <w:r w:rsidRPr="00835574">
        <w:rPr>
          <w:rFonts w:eastAsia="Times New Roman"/>
          <w:i/>
          <w:iCs/>
          <w:lang w:val="es-ES" w:eastAsia="es-ES"/>
        </w:rPr>
        <w:t>Los gastos por mantenimiento y conservación de inmuebles, para los pagos deberán autorizarse por la Dirección de Infraestructura, la Dirección de Administración o la Dirección Gestión Administrativa, en su caso, debiendo anexar reporte fotográfico del mismo.</w:t>
      </w:r>
    </w:p>
    <w:p w14:paraId="4D176572" w14:textId="77777777" w:rsidR="009919DB" w:rsidRPr="00835574" w:rsidRDefault="009919DB" w:rsidP="009919DB">
      <w:pPr>
        <w:pStyle w:val="Sinespaciado"/>
        <w:jc w:val="both"/>
        <w:rPr>
          <w:rFonts w:eastAsia="Times New Roman"/>
          <w:i/>
          <w:iCs/>
          <w:lang w:eastAsia="es-ES"/>
        </w:rPr>
      </w:pPr>
    </w:p>
    <w:p w14:paraId="159BA2E1" w14:textId="77777777" w:rsidR="009919DB" w:rsidRPr="00835574" w:rsidRDefault="009919DB">
      <w:pPr>
        <w:pStyle w:val="Sinespaciado"/>
        <w:numPr>
          <w:ilvl w:val="0"/>
          <w:numId w:val="28"/>
        </w:numPr>
        <w:jc w:val="both"/>
        <w:rPr>
          <w:rFonts w:eastAsia="Times New Roman"/>
          <w:i/>
          <w:iCs/>
          <w:lang w:eastAsia="es-ES"/>
        </w:rPr>
      </w:pPr>
      <w:r w:rsidRPr="00835574">
        <w:rPr>
          <w:rFonts w:eastAsia="Times New Roman"/>
          <w:i/>
          <w:iCs/>
          <w:lang w:eastAsia="es-ES"/>
        </w:rPr>
        <w:t>La documentación comprobatoria de los gastos efectuados por los Juzgados de Control y Ejecución, deberán estar autorizados por la Dirección de Administración y de la Secretaría Ejecutiva del Consejo de la Judicatura.</w:t>
      </w:r>
    </w:p>
    <w:p w14:paraId="0EC44AC3" w14:textId="77777777" w:rsidR="009919DB" w:rsidRPr="00835574" w:rsidRDefault="009919DB" w:rsidP="009919DB">
      <w:pPr>
        <w:pStyle w:val="Sinespaciado"/>
        <w:jc w:val="both"/>
        <w:rPr>
          <w:rFonts w:eastAsia="Times New Roman"/>
          <w:i/>
          <w:iCs/>
          <w:lang w:eastAsia="es-ES"/>
        </w:rPr>
      </w:pPr>
    </w:p>
    <w:p w14:paraId="1B74D716" w14:textId="77777777" w:rsidR="009919DB" w:rsidRPr="00835574" w:rsidRDefault="009919DB">
      <w:pPr>
        <w:pStyle w:val="Sinespaciado"/>
        <w:numPr>
          <w:ilvl w:val="0"/>
          <w:numId w:val="28"/>
        </w:numPr>
        <w:jc w:val="both"/>
        <w:rPr>
          <w:rFonts w:eastAsia="Times New Roman"/>
          <w:i/>
          <w:iCs/>
          <w:lang w:eastAsia="es-ES"/>
        </w:rPr>
      </w:pPr>
      <w:r w:rsidRPr="00835574">
        <w:rPr>
          <w:rFonts w:eastAsia="Times New Roman"/>
          <w:i/>
          <w:iCs/>
          <w:lang w:eastAsia="es-ES"/>
        </w:rPr>
        <w:t>Las facturas por gastos de fotocopiado, pasajes terrestres, puentes y peajes, y otros servicios por parte del personal de los Juzgados, deberán contar con la autorización de la Secretaría Ejecutiva y de la Dirección de Administración.</w:t>
      </w:r>
    </w:p>
    <w:p w14:paraId="6C6C1BF7" w14:textId="77777777" w:rsidR="009919DB" w:rsidRPr="00835574" w:rsidRDefault="009919DB" w:rsidP="009919DB">
      <w:pPr>
        <w:pStyle w:val="Sinespaciado"/>
        <w:jc w:val="both"/>
        <w:rPr>
          <w:rFonts w:eastAsia="Times New Roman"/>
          <w:i/>
          <w:iCs/>
          <w:lang w:eastAsia="es-ES"/>
        </w:rPr>
      </w:pPr>
    </w:p>
    <w:p w14:paraId="0A79BCAF" w14:textId="77777777" w:rsidR="009919DB" w:rsidRPr="00835574" w:rsidRDefault="009919DB">
      <w:pPr>
        <w:pStyle w:val="Sinespaciado"/>
        <w:numPr>
          <w:ilvl w:val="0"/>
          <w:numId w:val="28"/>
        </w:numPr>
        <w:jc w:val="both"/>
        <w:rPr>
          <w:rFonts w:eastAsia="Times New Roman"/>
          <w:i/>
          <w:iCs/>
          <w:lang w:eastAsia="es-ES"/>
        </w:rPr>
      </w:pPr>
      <w:r w:rsidRPr="00835574">
        <w:rPr>
          <w:rFonts w:eastAsia="Times New Roman"/>
          <w:i/>
          <w:iCs/>
          <w:lang w:val="es-ES" w:eastAsia="es-ES"/>
        </w:rPr>
        <w:t>Los movimientos de personal que deriven de convenios de Sindicatos con la Secretaría de Administración del Gobierno del Estado, solo se autorizarán cuando previamente sea entregado el Convenio firmado por los funcionarios facultados y autorizada su adhesión por el Poder Judicial.</w:t>
      </w:r>
    </w:p>
    <w:p w14:paraId="7B48330D" w14:textId="77777777" w:rsidR="009919DB" w:rsidRPr="00835574" w:rsidRDefault="009919DB" w:rsidP="009919DB">
      <w:pPr>
        <w:pStyle w:val="Sinespaciado"/>
        <w:jc w:val="both"/>
        <w:rPr>
          <w:rFonts w:eastAsia="Times New Roman"/>
          <w:i/>
          <w:iCs/>
          <w:lang w:val="es-ES" w:eastAsia="es-ES"/>
        </w:rPr>
      </w:pPr>
    </w:p>
    <w:p w14:paraId="1BDB83BE" w14:textId="311DBD21" w:rsidR="009919DB" w:rsidRPr="00835574" w:rsidRDefault="009919DB">
      <w:pPr>
        <w:pStyle w:val="Sinespaciado"/>
        <w:numPr>
          <w:ilvl w:val="0"/>
          <w:numId w:val="28"/>
        </w:numPr>
        <w:jc w:val="both"/>
        <w:rPr>
          <w:rFonts w:eastAsia="Times New Roman"/>
          <w:i/>
          <w:iCs/>
          <w:lang w:val="es-ES" w:eastAsia="es-ES"/>
        </w:rPr>
      </w:pPr>
      <w:r w:rsidRPr="00835574">
        <w:rPr>
          <w:rFonts w:eastAsia="Times New Roman"/>
          <w:i/>
          <w:iCs/>
          <w:lang w:val="es-ES" w:eastAsia="es-ES"/>
        </w:rPr>
        <w:t>HORAS EXTRAS: Para su pago</w:t>
      </w:r>
      <w:r w:rsidRPr="00835574">
        <w:rPr>
          <w:rFonts w:eastAsia="Times New Roman"/>
          <w:i/>
          <w:iCs/>
          <w:lang w:eastAsia="es-MX"/>
        </w:rPr>
        <w:t xml:space="preserve">, únicamente procederá a las áreas autorizadas </w:t>
      </w:r>
      <w:r w:rsidR="00887F07" w:rsidRPr="00835574">
        <w:rPr>
          <w:rFonts w:eastAsia="Times New Roman"/>
          <w:i/>
          <w:iCs/>
          <w:lang w:eastAsia="es-MX"/>
        </w:rPr>
        <w:t>con</w:t>
      </w:r>
      <w:r w:rsidRPr="00835574">
        <w:rPr>
          <w:rFonts w:eastAsia="Times New Roman"/>
          <w:i/>
          <w:iCs/>
          <w:lang w:eastAsia="es-MX"/>
        </w:rPr>
        <w:t xml:space="preserve"> base</w:t>
      </w:r>
      <w:r w:rsidR="00887F07" w:rsidRPr="00835574">
        <w:rPr>
          <w:rFonts w:eastAsia="Times New Roman"/>
          <w:i/>
          <w:iCs/>
          <w:lang w:eastAsia="es-MX"/>
        </w:rPr>
        <w:t xml:space="preserve"> en</w:t>
      </w:r>
      <w:r w:rsidRPr="00835574">
        <w:rPr>
          <w:rFonts w:eastAsia="Times New Roman"/>
          <w:i/>
          <w:iCs/>
          <w:lang w:eastAsia="es-MX"/>
        </w:rPr>
        <w:t xml:space="preserve">  la cobertura presupuestal y de acuerdo a las cargas de trabajo de los Juzgados Penales en turno</w:t>
      </w:r>
      <w:r w:rsidRPr="00835574">
        <w:rPr>
          <w:rFonts w:eastAsia="Times New Roman"/>
          <w:i/>
          <w:iCs/>
          <w:lang w:val="es-ES" w:eastAsia="es-ES"/>
        </w:rPr>
        <w:t xml:space="preserve">.  </w:t>
      </w:r>
    </w:p>
    <w:p w14:paraId="4F59D9FA" w14:textId="77777777" w:rsidR="009919DB" w:rsidRPr="00835574" w:rsidRDefault="009919DB" w:rsidP="009919DB">
      <w:pPr>
        <w:pStyle w:val="Sinespaciado"/>
        <w:jc w:val="both"/>
        <w:rPr>
          <w:rFonts w:eastAsia="Times New Roman"/>
          <w:i/>
          <w:iCs/>
          <w:lang w:val="es-ES" w:eastAsia="es-ES"/>
        </w:rPr>
      </w:pPr>
    </w:p>
    <w:p w14:paraId="1ACF75AC" w14:textId="7D65876E" w:rsidR="00583DDB" w:rsidRPr="00835574" w:rsidRDefault="009919DB" w:rsidP="009A4CBB">
      <w:pPr>
        <w:pStyle w:val="Sinespaciado"/>
        <w:numPr>
          <w:ilvl w:val="0"/>
          <w:numId w:val="28"/>
        </w:numPr>
        <w:jc w:val="both"/>
        <w:rPr>
          <w:b/>
          <w:bCs/>
          <w:i/>
          <w:iCs/>
        </w:rPr>
      </w:pPr>
      <w:r w:rsidRPr="00835574">
        <w:rPr>
          <w:rFonts w:eastAsia="Times New Roman"/>
          <w:i/>
          <w:iCs/>
          <w:lang w:val="es-ES" w:eastAsia="es-ES"/>
        </w:rPr>
        <w:t>En el caso de prestaciones que se pagan por la actividad que realiza el trabajador (gastos insalubres, ayuda de pasajes), dicha prestación deberá suspenderse cuando el trabajador cambie de actividad, ya que la prestación únicamente se otorga por la actividad que se realiza.</w:t>
      </w:r>
    </w:p>
    <w:p w14:paraId="3B0986A4" w14:textId="77777777" w:rsidR="00373877" w:rsidRPr="00835574" w:rsidRDefault="00373877" w:rsidP="00373877">
      <w:pPr>
        <w:pStyle w:val="Sinespaciado"/>
        <w:jc w:val="both"/>
        <w:rPr>
          <w:b/>
          <w:bCs/>
          <w:i/>
          <w:iCs/>
        </w:rPr>
      </w:pPr>
    </w:p>
    <w:p w14:paraId="039809EF" w14:textId="510A7FA3" w:rsidR="009919DB" w:rsidRPr="00835574" w:rsidRDefault="009919DB" w:rsidP="009919DB">
      <w:pPr>
        <w:pStyle w:val="Sinespaciado"/>
        <w:numPr>
          <w:ilvl w:val="0"/>
          <w:numId w:val="4"/>
        </w:numPr>
        <w:jc w:val="both"/>
        <w:rPr>
          <w:b/>
          <w:bCs/>
          <w:i/>
          <w:iCs/>
        </w:rPr>
      </w:pPr>
      <w:r w:rsidRPr="00835574">
        <w:rPr>
          <w:b/>
          <w:bCs/>
          <w:i/>
          <w:iCs/>
        </w:rPr>
        <w:t>CONSEJO DE LA JUDICATURA DEL ESTADO DE OAXACA</w:t>
      </w:r>
    </w:p>
    <w:p w14:paraId="7AC1CCE5" w14:textId="77777777" w:rsidR="009919DB" w:rsidRPr="00835574" w:rsidRDefault="009919DB" w:rsidP="009919DB">
      <w:pPr>
        <w:pStyle w:val="Sinespaciado"/>
        <w:jc w:val="both"/>
        <w:rPr>
          <w:rFonts w:eastAsia="Times New Roman"/>
          <w:b/>
          <w:bCs/>
          <w:i/>
          <w:iCs/>
          <w:lang w:val="es-ES" w:eastAsia="es-ES"/>
        </w:rPr>
      </w:pPr>
    </w:p>
    <w:p w14:paraId="77DE5A6F" w14:textId="77777777" w:rsidR="009919DB" w:rsidRPr="00835574" w:rsidRDefault="009919DB" w:rsidP="009919DB">
      <w:pPr>
        <w:pStyle w:val="Sinespaciado"/>
        <w:jc w:val="both"/>
        <w:rPr>
          <w:rFonts w:eastAsia="Times New Roman"/>
          <w:i/>
          <w:iCs/>
          <w:lang w:eastAsia="es-ES"/>
        </w:rPr>
      </w:pPr>
      <w:r w:rsidRPr="00835574">
        <w:rPr>
          <w:rFonts w:eastAsia="Times New Roman"/>
          <w:i/>
          <w:iCs/>
          <w:lang w:eastAsia="es-ES"/>
        </w:rPr>
        <w:t>PRESENTACIÓN</w:t>
      </w:r>
    </w:p>
    <w:p w14:paraId="28404E3C" w14:textId="77777777" w:rsidR="009919DB" w:rsidRPr="00835574" w:rsidRDefault="009919DB" w:rsidP="009919DB">
      <w:pPr>
        <w:pStyle w:val="Sinespaciado"/>
        <w:jc w:val="both"/>
        <w:rPr>
          <w:rFonts w:eastAsia="Times New Roman"/>
          <w:i/>
          <w:iCs/>
          <w:lang w:eastAsia="es-ES"/>
        </w:rPr>
      </w:pPr>
    </w:p>
    <w:p w14:paraId="46061BA7" w14:textId="77777777" w:rsidR="009919DB" w:rsidRPr="00835574" w:rsidRDefault="009919DB" w:rsidP="009919DB">
      <w:pPr>
        <w:pStyle w:val="Sinespaciado"/>
        <w:jc w:val="both"/>
        <w:rPr>
          <w:rFonts w:eastAsia="Times New Roman"/>
          <w:i/>
          <w:iCs/>
          <w:lang w:eastAsia="es-ES"/>
        </w:rPr>
      </w:pPr>
      <w:r w:rsidRPr="00835574">
        <w:rPr>
          <w:rFonts w:eastAsia="Times New Roman"/>
          <w:i/>
          <w:iCs/>
          <w:lang w:eastAsia="es-ES"/>
        </w:rPr>
        <w:lastRenderedPageBreak/>
        <w:t xml:space="preserve">Se emiten las Políticas de gasto, que contienen los lineamientos para efectuar las gestiones necesarias para la solicitud, trámite, ejercicio de los recursos y requisitos a los que habrá de sujetarse la documentación comprobatoria del gasto, misma que son de observancia obligatoria para todas las áreas administrativas y jurisdiccionales del Consejo de la Judicatura del Poder Judicial, que comprende del 1 de enero al 31 de diciembre de cada ejercicio fiscal, tomando en cuenta  la situación del déficit presupuestal y las necesidades de la misma, por ningún caso podrán contratar compromisos con posterioridad al término de la vigencia de su presupuesto aprobado, ni comprometer anticipadamente recursos financieros del ejercicio fiscal siguiente, además es necesario implementar estrategias como guía, sobre todo para el ejercicio del gasto público para la consecución de los </w:t>
      </w:r>
      <w:r w:rsidRPr="00835574">
        <w:rPr>
          <w:rFonts w:eastAsia="Times New Roman"/>
          <w:b/>
          <w:bCs/>
          <w:i/>
          <w:iCs/>
          <w:lang w:eastAsia="es-ES"/>
        </w:rPr>
        <w:t xml:space="preserve">objetivos anuales, estrategias y metas </w:t>
      </w:r>
      <w:r w:rsidRPr="00835574">
        <w:rPr>
          <w:rFonts w:eastAsia="Times New Roman"/>
          <w:i/>
          <w:iCs/>
          <w:lang w:eastAsia="es-ES"/>
        </w:rPr>
        <w:t>del gasto, proyectadas para el ejercicio 2023.</w:t>
      </w:r>
    </w:p>
    <w:p w14:paraId="735FB6EC" w14:textId="77777777" w:rsidR="009919DB" w:rsidRPr="00835574" w:rsidRDefault="009919DB" w:rsidP="009919DB">
      <w:pPr>
        <w:pStyle w:val="Sinespaciado"/>
        <w:jc w:val="both"/>
        <w:rPr>
          <w:rFonts w:eastAsia="Times New Roman"/>
          <w:i/>
          <w:iCs/>
          <w:lang w:eastAsia="es-ES"/>
        </w:rPr>
      </w:pPr>
    </w:p>
    <w:p w14:paraId="39F97319" w14:textId="77777777" w:rsidR="009919DB" w:rsidRPr="00835574" w:rsidRDefault="009919DB" w:rsidP="009919DB">
      <w:pPr>
        <w:pStyle w:val="Sinespaciado"/>
        <w:jc w:val="both"/>
        <w:rPr>
          <w:rFonts w:eastAsia="Times New Roman"/>
          <w:b/>
          <w:bCs/>
          <w:i/>
          <w:iCs/>
          <w:lang w:eastAsia="es-ES"/>
        </w:rPr>
      </w:pPr>
      <w:r w:rsidRPr="00835574">
        <w:rPr>
          <w:rFonts w:eastAsia="Times New Roman"/>
          <w:b/>
          <w:bCs/>
          <w:i/>
          <w:iCs/>
          <w:lang w:eastAsia="es-ES"/>
        </w:rPr>
        <w:t>CONTENIDO</w:t>
      </w:r>
    </w:p>
    <w:p w14:paraId="31C14732" w14:textId="77777777" w:rsidR="009919DB" w:rsidRPr="00835574" w:rsidRDefault="009919DB" w:rsidP="009919DB">
      <w:pPr>
        <w:pStyle w:val="Sinespaciado"/>
        <w:jc w:val="both"/>
        <w:rPr>
          <w:rFonts w:eastAsia="Times New Roman"/>
          <w:i/>
          <w:iCs/>
          <w:lang w:eastAsia="es-ES"/>
        </w:rPr>
      </w:pPr>
    </w:p>
    <w:p w14:paraId="5ED51D15" w14:textId="77777777" w:rsidR="009919DB" w:rsidRPr="00835574" w:rsidRDefault="009919DB" w:rsidP="009919DB">
      <w:pPr>
        <w:pStyle w:val="Sinespaciado"/>
        <w:jc w:val="both"/>
        <w:rPr>
          <w:rFonts w:eastAsia="Times New Roman"/>
          <w:i/>
          <w:iCs/>
          <w:lang w:eastAsia="es-ES"/>
        </w:rPr>
      </w:pPr>
      <w:r w:rsidRPr="00835574">
        <w:rPr>
          <w:rFonts w:eastAsia="Times New Roman"/>
          <w:i/>
          <w:iCs/>
          <w:lang w:eastAsia="es-ES"/>
        </w:rPr>
        <w:t>Las siguientes políticas de austeridad, permitirá garantizar un manejo transparente y eficiente de los recursos, bajo el contexto de racionalidad y disciplina presupuestal para la consecución de los objetivos institucionales;</w:t>
      </w:r>
    </w:p>
    <w:p w14:paraId="30C99941" w14:textId="77777777" w:rsidR="009919DB" w:rsidRPr="00835574" w:rsidRDefault="009919DB" w:rsidP="009919DB">
      <w:pPr>
        <w:pStyle w:val="Sinespaciado"/>
        <w:jc w:val="both"/>
        <w:rPr>
          <w:rFonts w:eastAsia="Times New Roman"/>
          <w:i/>
          <w:iCs/>
          <w:lang w:eastAsia="es-ES"/>
        </w:rPr>
      </w:pPr>
    </w:p>
    <w:p w14:paraId="4109184C" w14:textId="77777777" w:rsidR="009919DB" w:rsidRPr="00835574" w:rsidRDefault="009919DB" w:rsidP="009919DB">
      <w:pPr>
        <w:pStyle w:val="Sinespaciado"/>
        <w:jc w:val="both"/>
        <w:rPr>
          <w:rFonts w:eastAsia="Times New Roman"/>
          <w:b/>
          <w:bCs/>
          <w:i/>
          <w:iCs/>
          <w:lang w:eastAsia="es-ES"/>
        </w:rPr>
      </w:pPr>
      <w:r w:rsidRPr="00835574">
        <w:rPr>
          <w:rFonts w:eastAsia="Times New Roman"/>
          <w:b/>
          <w:bCs/>
          <w:i/>
          <w:iCs/>
          <w:lang w:eastAsia="es-ES"/>
        </w:rPr>
        <w:t>MATERIALES Y SUMINISTROS</w:t>
      </w:r>
    </w:p>
    <w:p w14:paraId="14F5F29B" w14:textId="77777777" w:rsidR="009919DB" w:rsidRPr="00835574" w:rsidRDefault="009919DB" w:rsidP="009919DB">
      <w:pPr>
        <w:pStyle w:val="Sinespaciado"/>
        <w:jc w:val="both"/>
        <w:rPr>
          <w:rFonts w:eastAsia="Times New Roman"/>
          <w:i/>
          <w:iCs/>
          <w:lang w:eastAsia="es-ES"/>
        </w:rPr>
      </w:pPr>
    </w:p>
    <w:p w14:paraId="3A68D35D"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 xml:space="preserve">Hacer uso con alto sentido de responsabilidad institucional de: material de oficina, tinta y tóner de impresoras, fotocopiados, energía eléctrica, agua, teléfono y vehículos de la institución, los Directores, Coordinadores, Jefes de Unidad, Jefes de Departamento, deberán establecer </w:t>
      </w:r>
      <w:r w:rsidRPr="00835574">
        <w:rPr>
          <w:rFonts w:eastAsia="Times New Roman"/>
          <w:b/>
          <w:bCs/>
          <w:i/>
          <w:iCs/>
          <w:lang w:eastAsia="es-ES"/>
        </w:rPr>
        <w:t>medidas</w:t>
      </w:r>
      <w:r w:rsidRPr="00835574">
        <w:rPr>
          <w:rFonts w:eastAsia="Times New Roman"/>
          <w:i/>
          <w:iCs/>
          <w:lang w:eastAsia="es-ES"/>
        </w:rPr>
        <w:t xml:space="preserve"> </w:t>
      </w:r>
      <w:r w:rsidRPr="00835574">
        <w:rPr>
          <w:rFonts w:eastAsia="Times New Roman"/>
          <w:b/>
          <w:bCs/>
          <w:i/>
          <w:iCs/>
          <w:lang w:eastAsia="es-ES"/>
        </w:rPr>
        <w:t>de ahorro</w:t>
      </w:r>
      <w:r w:rsidRPr="00835574">
        <w:rPr>
          <w:rFonts w:eastAsia="Times New Roman"/>
          <w:i/>
          <w:iCs/>
          <w:lang w:eastAsia="es-ES"/>
        </w:rPr>
        <w:t xml:space="preserve">  al interior de su área de responsabilidad, ejemplo: rehúso de papel, verificar que efectivamente estén apagados los equipos de cómputo, sumadores, focos, lámparas y demás equipo electrónico al momento de salir de la jornada de trabajo o de la institución, las llamadas telefónicas deberán ser exclusivamente oficiales, y en caso de las llamadas personales el costo de estas, serán descontado del pago de la nómina, fotocopiar documentos oficiales solo cuando sea necesario, usar el internet solo en caso necesario, entre otros que en el ámbito de competencia laboral se puedan implementar.</w:t>
      </w:r>
    </w:p>
    <w:p w14:paraId="62817352" w14:textId="77777777" w:rsidR="009919DB" w:rsidRPr="00835574" w:rsidRDefault="009919DB" w:rsidP="009919DB">
      <w:pPr>
        <w:pStyle w:val="Sinespaciado"/>
        <w:jc w:val="both"/>
        <w:rPr>
          <w:rFonts w:eastAsia="Times New Roman"/>
          <w:i/>
          <w:iCs/>
          <w:lang w:eastAsia="es-ES"/>
        </w:rPr>
      </w:pPr>
    </w:p>
    <w:p w14:paraId="1B31F725" w14:textId="374F7056"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Para llevar a cabo las compras de papelería y tóner, deberán sujetarse a los procedimientos de adjudicación establecidos en la Normatividad para el ejercicio del Presupuesto vigente, no debiendo fraccionar las compras. Deberá evitarse el desperdicio y uso indebido de papel, utilizando el reverso de las h</w:t>
      </w:r>
      <w:r w:rsidR="00EE4AA4" w:rsidRPr="00835574">
        <w:rPr>
          <w:rFonts w:eastAsia="Times New Roman"/>
          <w:i/>
          <w:iCs/>
          <w:lang w:eastAsia="es-ES"/>
        </w:rPr>
        <w:t>o</w:t>
      </w:r>
      <w:r w:rsidRPr="00835574">
        <w:rPr>
          <w:rFonts w:eastAsia="Times New Roman"/>
          <w:i/>
          <w:iCs/>
          <w:lang w:eastAsia="es-ES"/>
        </w:rPr>
        <w:t xml:space="preserve">jas, reutilizando para ejercicios, borradores, notas, etc., y revisando la pertinencia de reducir los turnos (c.c.p.) en los oficios que envíen, sustituyendo dichas copias por medio digital y por envíos en medio electrónico, revisar periódicamente la existencia de materiales en sus respectivas áreas y solicitar las requisiciones únicamente lo indispensable. </w:t>
      </w:r>
    </w:p>
    <w:p w14:paraId="66E2FE90" w14:textId="77777777" w:rsidR="009919DB" w:rsidRPr="00835574" w:rsidRDefault="009919DB" w:rsidP="009919DB">
      <w:pPr>
        <w:pStyle w:val="Sinespaciado"/>
        <w:jc w:val="both"/>
        <w:rPr>
          <w:rFonts w:eastAsia="Times New Roman"/>
          <w:i/>
          <w:iCs/>
          <w:lang w:eastAsia="es-ES"/>
        </w:rPr>
      </w:pPr>
    </w:p>
    <w:p w14:paraId="2D4CB607" w14:textId="68EB2BC6" w:rsidR="009919DB" w:rsidRPr="00835574" w:rsidRDefault="009919DB" w:rsidP="00BB52A9">
      <w:pPr>
        <w:pStyle w:val="Sinespaciado"/>
        <w:ind w:left="709"/>
        <w:jc w:val="both"/>
        <w:rPr>
          <w:rFonts w:eastAsia="Times New Roman"/>
          <w:i/>
          <w:iCs/>
          <w:lang w:eastAsia="es-ES"/>
        </w:rPr>
      </w:pPr>
      <w:r w:rsidRPr="00835574">
        <w:rPr>
          <w:rFonts w:eastAsia="Times New Roman"/>
          <w:i/>
          <w:iCs/>
          <w:lang w:eastAsia="es-ES"/>
        </w:rPr>
        <w:t>Con el propósito de eficientar el manejo y uso de los artículos no prioritarios tales como; correctores líquidos</w:t>
      </w:r>
      <w:r w:rsidR="00EE4AA4" w:rsidRPr="00835574">
        <w:rPr>
          <w:rFonts w:eastAsia="Times New Roman"/>
          <w:i/>
          <w:iCs/>
          <w:lang w:eastAsia="es-ES"/>
        </w:rPr>
        <w:t>,</w:t>
      </w:r>
      <w:r w:rsidRPr="00835574">
        <w:rPr>
          <w:rFonts w:eastAsia="Times New Roman"/>
          <w:i/>
          <w:iCs/>
          <w:lang w:eastAsia="es-ES"/>
        </w:rPr>
        <w:t xml:space="preserve"> papel</w:t>
      </w:r>
      <w:r w:rsidR="00BB52A9" w:rsidRPr="00835574">
        <w:rPr>
          <w:rFonts w:eastAsia="Times New Roman"/>
          <w:i/>
          <w:iCs/>
          <w:lang w:eastAsia="es-ES"/>
        </w:rPr>
        <w:t>,</w:t>
      </w:r>
      <w:r w:rsidRPr="00835574">
        <w:rPr>
          <w:rFonts w:eastAsia="Times New Roman"/>
          <w:i/>
          <w:iCs/>
          <w:lang w:eastAsia="es-ES"/>
        </w:rPr>
        <w:t xml:space="preserve"> post-it, marcadores de aceite, bolígrafos de gel, calculadoras, </w:t>
      </w:r>
      <w:r w:rsidRPr="00835574">
        <w:rPr>
          <w:rFonts w:eastAsia="Times New Roman"/>
          <w:i/>
          <w:iCs/>
          <w:lang w:eastAsia="es-ES"/>
        </w:rPr>
        <w:lastRenderedPageBreak/>
        <w:t>libretas de pasta dura, carpetas o folders plastificados, portaminas sujeto de papeles, tarjeteros, directorios, agendas, portadiurex, organizadores de escritorio y portalápices.</w:t>
      </w:r>
    </w:p>
    <w:p w14:paraId="72EFEA9B" w14:textId="77777777" w:rsidR="009919DB" w:rsidRPr="00835574" w:rsidRDefault="009919DB" w:rsidP="00BB52A9">
      <w:pPr>
        <w:pStyle w:val="Sinespaciado"/>
        <w:ind w:left="709"/>
        <w:jc w:val="both"/>
        <w:rPr>
          <w:rFonts w:eastAsia="Times New Roman"/>
          <w:i/>
          <w:iCs/>
          <w:lang w:eastAsia="es-ES"/>
        </w:rPr>
      </w:pPr>
    </w:p>
    <w:p w14:paraId="790821C2" w14:textId="77777777" w:rsidR="009919DB" w:rsidRPr="00835574" w:rsidRDefault="009919DB" w:rsidP="00BB52A9">
      <w:pPr>
        <w:pStyle w:val="Sinespaciado"/>
        <w:ind w:left="709"/>
        <w:jc w:val="both"/>
        <w:rPr>
          <w:rFonts w:eastAsia="Times New Roman"/>
          <w:i/>
          <w:iCs/>
          <w:lang w:eastAsia="es-ES"/>
        </w:rPr>
      </w:pPr>
      <w:r w:rsidRPr="00835574">
        <w:rPr>
          <w:rFonts w:eastAsia="Times New Roman"/>
          <w:i/>
          <w:iCs/>
          <w:lang w:eastAsia="es-ES"/>
        </w:rPr>
        <w:t>Tratándose de cutter, tijeras engrapadoras, perforadoras, y otros bienes semiduraderos, se proveerán como máximo dos veces al año, bajo el criterio de revisión y en su caso se suministrará su reposición.</w:t>
      </w:r>
    </w:p>
    <w:p w14:paraId="48040D95" w14:textId="77777777" w:rsidR="009919DB" w:rsidRPr="00835574" w:rsidRDefault="009919DB" w:rsidP="009919DB">
      <w:pPr>
        <w:pStyle w:val="Sinespaciado"/>
        <w:jc w:val="both"/>
        <w:rPr>
          <w:rFonts w:eastAsia="Times New Roman"/>
          <w:i/>
          <w:iCs/>
          <w:lang w:eastAsia="es-ES"/>
        </w:rPr>
      </w:pPr>
    </w:p>
    <w:p w14:paraId="5E89DB94"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Tratándose de proyectos especiales se requiere solicitar autorización de la Dirección de Planeación e Informática presentando lo siguiente:</w:t>
      </w:r>
    </w:p>
    <w:p w14:paraId="69B99D6C" w14:textId="77777777" w:rsidR="009919DB" w:rsidRPr="00835574" w:rsidRDefault="009919DB" w:rsidP="009919DB">
      <w:pPr>
        <w:pStyle w:val="Sinespaciado"/>
        <w:jc w:val="both"/>
        <w:rPr>
          <w:rFonts w:eastAsia="Times New Roman"/>
          <w:i/>
          <w:iCs/>
          <w:lang w:eastAsia="es-ES"/>
        </w:rPr>
      </w:pPr>
    </w:p>
    <w:p w14:paraId="10D91E37" w14:textId="77777777" w:rsidR="009919DB" w:rsidRPr="00835574" w:rsidRDefault="009919DB">
      <w:pPr>
        <w:pStyle w:val="Sinespaciado"/>
        <w:numPr>
          <w:ilvl w:val="0"/>
          <w:numId w:val="26"/>
        </w:numPr>
        <w:jc w:val="both"/>
        <w:rPr>
          <w:rFonts w:eastAsia="Times New Roman"/>
          <w:i/>
          <w:iCs/>
          <w:lang w:eastAsia="es-ES"/>
        </w:rPr>
      </w:pPr>
      <w:r w:rsidRPr="00835574">
        <w:rPr>
          <w:rFonts w:eastAsia="Times New Roman"/>
          <w:i/>
          <w:iCs/>
          <w:lang w:eastAsia="es-ES"/>
        </w:rPr>
        <w:t>Programa de trabajo</w:t>
      </w:r>
    </w:p>
    <w:p w14:paraId="7468DF9F" w14:textId="77777777" w:rsidR="009919DB" w:rsidRPr="00835574" w:rsidRDefault="009919DB">
      <w:pPr>
        <w:pStyle w:val="Sinespaciado"/>
        <w:numPr>
          <w:ilvl w:val="0"/>
          <w:numId w:val="26"/>
        </w:numPr>
        <w:jc w:val="both"/>
        <w:rPr>
          <w:rFonts w:eastAsia="Times New Roman"/>
          <w:i/>
          <w:iCs/>
          <w:lang w:eastAsia="es-ES"/>
        </w:rPr>
      </w:pPr>
      <w:r w:rsidRPr="00835574">
        <w:rPr>
          <w:rFonts w:eastAsia="Times New Roman"/>
          <w:i/>
          <w:iCs/>
          <w:lang w:eastAsia="es-ES"/>
        </w:rPr>
        <w:t>Presupuesto detallado del evento de se trate</w:t>
      </w:r>
    </w:p>
    <w:p w14:paraId="7657C714" w14:textId="77777777" w:rsidR="009919DB" w:rsidRPr="00835574" w:rsidRDefault="009919DB">
      <w:pPr>
        <w:pStyle w:val="Sinespaciado"/>
        <w:numPr>
          <w:ilvl w:val="0"/>
          <w:numId w:val="26"/>
        </w:numPr>
        <w:jc w:val="both"/>
        <w:rPr>
          <w:rFonts w:eastAsia="Times New Roman"/>
          <w:i/>
          <w:iCs/>
          <w:lang w:eastAsia="es-ES"/>
        </w:rPr>
      </w:pPr>
      <w:r w:rsidRPr="00835574">
        <w:rPr>
          <w:rFonts w:eastAsia="Times New Roman"/>
          <w:i/>
          <w:iCs/>
          <w:lang w:eastAsia="es-ES"/>
        </w:rPr>
        <w:t>Anexar los documentos (programa y presupuesto) a las facturas que se deriven del ejercicio de los recursos autorizados en estos conceptos.</w:t>
      </w:r>
    </w:p>
    <w:p w14:paraId="207D2EE6" w14:textId="77777777" w:rsidR="009919DB" w:rsidRPr="00835574" w:rsidRDefault="009919DB" w:rsidP="009919DB">
      <w:pPr>
        <w:pStyle w:val="Sinespaciado"/>
        <w:jc w:val="both"/>
        <w:rPr>
          <w:rFonts w:eastAsia="Times New Roman"/>
          <w:i/>
          <w:iCs/>
          <w:lang w:eastAsia="es-ES"/>
        </w:rPr>
      </w:pPr>
    </w:p>
    <w:p w14:paraId="7D7CDEEE"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 xml:space="preserve"> No contraer ningún compromiso de gasto si no se cuenta con la disponibilidad presupuestal, ya que no se autorizarán asignaciones presupuestales adicionales, para el cumplimiento de las metas programadas, salvo aquellas que deriven de reformas legales y proyectos nuevos por los Plenos del Poder Judicial; por lo que, tratándose de los casos antes citado, deberán solicitar la autorización oportuna a la Dirección de Planeación, e Informática; p.ej. impresos, capacitaciones, asesorías, reuniones y convenciones entre otros.</w:t>
      </w:r>
    </w:p>
    <w:p w14:paraId="3A814533" w14:textId="77777777" w:rsidR="009919DB" w:rsidRPr="00835574" w:rsidRDefault="009919DB" w:rsidP="009919DB">
      <w:pPr>
        <w:pStyle w:val="Sinespaciado"/>
        <w:jc w:val="both"/>
        <w:rPr>
          <w:rFonts w:eastAsia="Times New Roman"/>
          <w:i/>
          <w:iCs/>
          <w:lang w:eastAsia="es-ES"/>
        </w:rPr>
      </w:pPr>
    </w:p>
    <w:p w14:paraId="0C488F5F" w14:textId="77777777" w:rsidR="009919DB" w:rsidRPr="00835574" w:rsidRDefault="009919DB" w:rsidP="009919DB">
      <w:pPr>
        <w:pStyle w:val="Sinespaciado"/>
        <w:jc w:val="both"/>
        <w:rPr>
          <w:rFonts w:eastAsia="Times New Roman"/>
          <w:b/>
          <w:bCs/>
          <w:i/>
          <w:iCs/>
          <w:lang w:eastAsia="es-ES"/>
        </w:rPr>
      </w:pPr>
      <w:r w:rsidRPr="00835574">
        <w:rPr>
          <w:rFonts w:eastAsia="Times New Roman"/>
          <w:b/>
          <w:bCs/>
          <w:i/>
          <w:iCs/>
          <w:lang w:eastAsia="es-ES"/>
        </w:rPr>
        <w:t>SERVICIOS GENERALES</w:t>
      </w:r>
    </w:p>
    <w:p w14:paraId="56B0DAD2" w14:textId="77777777" w:rsidR="009919DB" w:rsidRPr="00835574" w:rsidRDefault="009919DB" w:rsidP="009919DB">
      <w:pPr>
        <w:pStyle w:val="Sinespaciado"/>
        <w:jc w:val="both"/>
        <w:rPr>
          <w:rFonts w:eastAsia="Times New Roman"/>
          <w:i/>
          <w:iCs/>
          <w:lang w:eastAsia="es-ES"/>
        </w:rPr>
      </w:pPr>
    </w:p>
    <w:p w14:paraId="59C783AD" w14:textId="77777777" w:rsidR="009919DB" w:rsidRPr="00835574" w:rsidRDefault="009919DB" w:rsidP="009919DB">
      <w:pPr>
        <w:pStyle w:val="Sinespaciado"/>
        <w:jc w:val="both"/>
        <w:rPr>
          <w:rFonts w:eastAsia="Times New Roman"/>
          <w:i/>
          <w:iCs/>
          <w:lang w:eastAsia="es-ES"/>
        </w:rPr>
      </w:pPr>
      <w:r w:rsidRPr="00835574">
        <w:rPr>
          <w:rFonts w:eastAsia="Times New Roman"/>
          <w:i/>
          <w:iCs/>
          <w:lang w:eastAsia="es-ES"/>
        </w:rPr>
        <w:t>En apego a lo establecido en el Capítulo III del Decreto de Presupuesto de Egresos del Estado de Oaxaca para el ejercicio fiscal 2023, el ejercicio de los recursos se apegue estrictamente a sus necesidades y a lo establecido en las disposiciones legales aplicables.</w:t>
      </w:r>
    </w:p>
    <w:p w14:paraId="5613786F" w14:textId="77777777" w:rsidR="009919DB" w:rsidRPr="00835574" w:rsidRDefault="009919DB" w:rsidP="009919DB">
      <w:pPr>
        <w:pStyle w:val="Sinespaciado"/>
        <w:jc w:val="both"/>
        <w:rPr>
          <w:rFonts w:eastAsia="Times New Roman"/>
          <w:i/>
          <w:iCs/>
          <w:lang w:eastAsia="es-ES"/>
        </w:rPr>
      </w:pPr>
    </w:p>
    <w:p w14:paraId="44002C71"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Previo a la contratación de los servicios: energía eléctrica, teléfonos convencionales y celulares, agua potable, arrendamiento de inmuebles y muebles, deberán confirmarse la disponibilidad de recursos presupuestarios y obtener la autorización de la Dirección de Planeación e Informática.</w:t>
      </w:r>
    </w:p>
    <w:p w14:paraId="55B5B707" w14:textId="77777777" w:rsidR="009919DB" w:rsidRPr="00835574" w:rsidRDefault="009919DB" w:rsidP="009919DB">
      <w:pPr>
        <w:pStyle w:val="Sinespaciado"/>
        <w:jc w:val="both"/>
        <w:rPr>
          <w:rFonts w:eastAsia="Times New Roman"/>
          <w:i/>
          <w:iCs/>
          <w:lang w:eastAsia="es-ES"/>
        </w:rPr>
      </w:pPr>
    </w:p>
    <w:p w14:paraId="373B686D" w14:textId="77777777" w:rsidR="009919DB" w:rsidRPr="00835574" w:rsidRDefault="009919DB" w:rsidP="009919DB">
      <w:pPr>
        <w:pStyle w:val="Sinespaciado"/>
        <w:jc w:val="both"/>
        <w:rPr>
          <w:rFonts w:eastAsia="Times New Roman"/>
          <w:i/>
          <w:iCs/>
          <w:lang w:eastAsia="es-ES"/>
        </w:rPr>
      </w:pPr>
      <w:r w:rsidRPr="00835574">
        <w:rPr>
          <w:rFonts w:eastAsia="Times New Roman"/>
          <w:i/>
          <w:iCs/>
          <w:lang w:eastAsia="es-ES"/>
        </w:rPr>
        <w:t>El gasto por servicio de la Telefonía Celular está autorizado exclusivamente para el Presidente (a), Secretario General de Acuerdos (a) del Consejo de la Judicatura.</w:t>
      </w:r>
    </w:p>
    <w:p w14:paraId="7D21F21D" w14:textId="77777777" w:rsidR="009919DB" w:rsidRPr="00835574" w:rsidRDefault="009919DB" w:rsidP="009919DB">
      <w:pPr>
        <w:pStyle w:val="Sinespaciado"/>
        <w:jc w:val="both"/>
        <w:rPr>
          <w:rFonts w:eastAsia="Times New Roman"/>
          <w:i/>
          <w:iCs/>
          <w:lang w:eastAsia="es-ES"/>
        </w:rPr>
      </w:pPr>
    </w:p>
    <w:p w14:paraId="1A523E8B"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Queda estrictamente prohibido pagar notas o facturas por combustibles cuando se realicen comisiones dentro de la Ciudad de Oaxaca o de su lugar de adscripción.</w:t>
      </w:r>
    </w:p>
    <w:p w14:paraId="603625A6" w14:textId="77777777" w:rsidR="009919DB" w:rsidRPr="00835574" w:rsidRDefault="009919DB" w:rsidP="009919DB">
      <w:pPr>
        <w:pStyle w:val="Sinespaciado"/>
        <w:jc w:val="both"/>
        <w:rPr>
          <w:rFonts w:eastAsia="Times New Roman"/>
          <w:i/>
          <w:iCs/>
          <w:lang w:eastAsia="es-ES"/>
        </w:rPr>
      </w:pPr>
    </w:p>
    <w:p w14:paraId="184F3244" w14:textId="298B24EB"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Sólo se autorizarán boletos de avión a Magistrados y Consejeros.</w:t>
      </w:r>
    </w:p>
    <w:p w14:paraId="5A141519" w14:textId="77777777" w:rsidR="007448E7" w:rsidRPr="00835574" w:rsidRDefault="007448E7" w:rsidP="007448E7">
      <w:pPr>
        <w:pStyle w:val="Sinespaciado"/>
        <w:jc w:val="both"/>
        <w:rPr>
          <w:rFonts w:eastAsia="Times New Roman"/>
          <w:i/>
          <w:iCs/>
          <w:lang w:eastAsia="es-ES"/>
        </w:rPr>
      </w:pPr>
    </w:p>
    <w:p w14:paraId="31480FD4" w14:textId="77777777" w:rsidR="009919DB" w:rsidRPr="00835574" w:rsidRDefault="009919DB" w:rsidP="009919DB">
      <w:pPr>
        <w:pStyle w:val="Sinespaciado"/>
        <w:jc w:val="both"/>
        <w:rPr>
          <w:rFonts w:eastAsia="Times New Roman"/>
          <w:i/>
          <w:iCs/>
          <w:lang w:eastAsia="es-ES"/>
        </w:rPr>
      </w:pPr>
      <w:r w:rsidRPr="00835574">
        <w:rPr>
          <w:rFonts w:eastAsia="Times New Roman"/>
          <w:i/>
          <w:iCs/>
          <w:lang w:eastAsia="es-ES"/>
        </w:rPr>
        <w:t>Los pasajes aéreos deberán contratarse en clase turista, no se autorizarán cargos adicionales, debiendo presentar la factura electrónica del boleto y pase de abordar como comprobantes oficiales.</w:t>
      </w:r>
    </w:p>
    <w:p w14:paraId="3A987526" w14:textId="228468C8" w:rsidR="007448E7" w:rsidRPr="00835574" w:rsidRDefault="007448E7" w:rsidP="009919DB">
      <w:pPr>
        <w:pStyle w:val="Sinespaciado"/>
        <w:jc w:val="both"/>
        <w:rPr>
          <w:rFonts w:eastAsia="Times New Roman"/>
          <w:b/>
          <w:bCs/>
          <w:i/>
          <w:iCs/>
          <w:lang w:eastAsia="es-ES"/>
        </w:rPr>
      </w:pPr>
      <w:r w:rsidRPr="00835574">
        <w:rPr>
          <w:rFonts w:eastAsia="Times New Roman"/>
          <w:b/>
          <w:bCs/>
          <w:i/>
          <w:iCs/>
          <w:lang w:eastAsia="es-ES"/>
        </w:rPr>
        <w:t>De los viáticos:</w:t>
      </w:r>
    </w:p>
    <w:p w14:paraId="4CB475C8" w14:textId="77777777" w:rsidR="007448E7" w:rsidRPr="00835574" w:rsidRDefault="007448E7" w:rsidP="009919DB">
      <w:pPr>
        <w:pStyle w:val="Sinespaciado"/>
        <w:jc w:val="both"/>
        <w:rPr>
          <w:rFonts w:eastAsia="Times New Roman"/>
          <w:i/>
          <w:iCs/>
          <w:lang w:eastAsia="es-ES"/>
        </w:rPr>
      </w:pPr>
    </w:p>
    <w:p w14:paraId="2E3EBE96" w14:textId="77777777" w:rsidR="009919DB" w:rsidRPr="00835574" w:rsidRDefault="009919DB" w:rsidP="009919DB">
      <w:pPr>
        <w:pStyle w:val="Sinespaciado"/>
        <w:jc w:val="both"/>
        <w:rPr>
          <w:rFonts w:eastAsia="Times New Roman"/>
          <w:i/>
          <w:iCs/>
          <w:lang w:eastAsia="es-ES"/>
        </w:rPr>
      </w:pPr>
      <w:r w:rsidRPr="00835574">
        <w:rPr>
          <w:rFonts w:eastAsia="Times New Roman"/>
          <w:i/>
          <w:iCs/>
          <w:lang w:eastAsia="es-ES"/>
        </w:rPr>
        <w:t>Los viáticos incluyen hospedaje, transporte local, estacionamiento, alimentación, y el costo de llamadas telefónicas oficiales.</w:t>
      </w:r>
    </w:p>
    <w:p w14:paraId="382256F6" w14:textId="77777777" w:rsidR="009919DB" w:rsidRPr="00835574" w:rsidRDefault="009919DB" w:rsidP="009919DB">
      <w:pPr>
        <w:pStyle w:val="Sinespaciado"/>
        <w:jc w:val="both"/>
        <w:rPr>
          <w:rFonts w:eastAsia="Times New Roman"/>
          <w:i/>
          <w:iCs/>
          <w:lang w:eastAsia="es-ES"/>
        </w:rPr>
      </w:pPr>
    </w:p>
    <w:p w14:paraId="186EE660" w14:textId="77777777" w:rsidR="009919DB" w:rsidRPr="00835574" w:rsidRDefault="009919DB" w:rsidP="009919DB">
      <w:pPr>
        <w:pStyle w:val="Sinespaciado"/>
        <w:jc w:val="both"/>
        <w:rPr>
          <w:rFonts w:eastAsia="Times New Roman"/>
          <w:i/>
          <w:iCs/>
          <w:lang w:eastAsia="es-ES"/>
        </w:rPr>
      </w:pPr>
      <w:r w:rsidRPr="00835574">
        <w:rPr>
          <w:rFonts w:eastAsia="Times New Roman"/>
          <w:i/>
          <w:iCs/>
          <w:lang w:eastAsia="es-ES"/>
        </w:rPr>
        <w:t>No deberán otorgarse a personal que se encuentra en período de vacacional, permiso económico, incapacidad médica o licencia sin goce de sueldo.</w:t>
      </w:r>
    </w:p>
    <w:p w14:paraId="71889D88" w14:textId="77777777" w:rsidR="009919DB" w:rsidRPr="00835574" w:rsidRDefault="009919DB" w:rsidP="009919DB">
      <w:pPr>
        <w:pStyle w:val="Sinespaciado"/>
        <w:jc w:val="both"/>
        <w:rPr>
          <w:rFonts w:eastAsia="Times New Roman"/>
          <w:i/>
          <w:iCs/>
          <w:lang w:eastAsia="es-ES"/>
        </w:rPr>
      </w:pPr>
    </w:p>
    <w:p w14:paraId="21104E23" w14:textId="5F119BFA" w:rsidR="009919DB" w:rsidRPr="00835574" w:rsidRDefault="009919DB" w:rsidP="009919DB">
      <w:pPr>
        <w:pStyle w:val="Sinespaciado"/>
        <w:jc w:val="both"/>
        <w:rPr>
          <w:rFonts w:eastAsia="Times New Roman"/>
          <w:i/>
          <w:iCs/>
          <w:lang w:eastAsia="es-ES"/>
        </w:rPr>
      </w:pPr>
      <w:r w:rsidRPr="00835574">
        <w:rPr>
          <w:rFonts w:eastAsia="Times New Roman"/>
          <w:i/>
          <w:iCs/>
          <w:lang w:eastAsia="es-ES"/>
        </w:rPr>
        <w:t>Y correrán a partir del día de la comisión hasta el t</w:t>
      </w:r>
      <w:r w:rsidR="00EE4AA4" w:rsidRPr="00835574">
        <w:rPr>
          <w:rFonts w:eastAsia="Times New Roman"/>
          <w:i/>
          <w:iCs/>
          <w:lang w:eastAsia="es-ES"/>
        </w:rPr>
        <w:t>é</w:t>
      </w:r>
      <w:r w:rsidRPr="00835574">
        <w:rPr>
          <w:rFonts w:eastAsia="Times New Roman"/>
          <w:i/>
          <w:iCs/>
          <w:lang w:eastAsia="es-ES"/>
        </w:rPr>
        <w:t>rmino de las misma, sin tomar en consideración los días por traslado.</w:t>
      </w:r>
    </w:p>
    <w:p w14:paraId="09926591" w14:textId="77777777" w:rsidR="009919DB" w:rsidRPr="00835574" w:rsidRDefault="009919DB" w:rsidP="009919DB">
      <w:pPr>
        <w:pStyle w:val="Sinespaciado"/>
        <w:jc w:val="both"/>
        <w:rPr>
          <w:rFonts w:eastAsia="Times New Roman"/>
          <w:i/>
          <w:iCs/>
          <w:lang w:eastAsia="es-ES"/>
        </w:rPr>
      </w:pPr>
    </w:p>
    <w:p w14:paraId="504F1EC7" w14:textId="77777777" w:rsidR="009919DB" w:rsidRPr="00835574" w:rsidRDefault="009919DB" w:rsidP="009919DB">
      <w:pPr>
        <w:pStyle w:val="Sinespaciado"/>
        <w:jc w:val="both"/>
        <w:rPr>
          <w:rFonts w:eastAsia="Times New Roman"/>
          <w:i/>
          <w:iCs/>
          <w:lang w:eastAsia="es-ES"/>
        </w:rPr>
      </w:pPr>
      <w:r w:rsidRPr="00835574">
        <w:rPr>
          <w:rFonts w:eastAsia="Times New Roman"/>
          <w:b/>
          <w:bCs/>
          <w:i/>
          <w:iCs/>
          <w:lang w:eastAsia="es-ES"/>
        </w:rPr>
        <w:t>Los gastos de Comisión</w:t>
      </w:r>
      <w:r w:rsidRPr="00835574">
        <w:rPr>
          <w:rFonts w:eastAsia="Times New Roman"/>
          <w:i/>
          <w:iCs/>
          <w:lang w:eastAsia="es-ES"/>
        </w:rPr>
        <w:t xml:space="preserve"> se utilizarán para el pago de comidas a trabajadores que laboren fuera de su horario normal; y a los que viajen en el desempeño de comisiones oficiales fuera de sus horarios de labores, incluyen gasto de trasporte y será el equivalente a un salario mínimo por día.</w:t>
      </w:r>
    </w:p>
    <w:p w14:paraId="065C8D7E" w14:textId="77777777" w:rsidR="009919DB" w:rsidRPr="00835574" w:rsidRDefault="009919DB" w:rsidP="009919DB">
      <w:pPr>
        <w:pStyle w:val="Sinespaciado"/>
        <w:jc w:val="both"/>
        <w:rPr>
          <w:rFonts w:eastAsia="Times New Roman"/>
          <w:i/>
          <w:iCs/>
          <w:lang w:eastAsia="es-ES"/>
        </w:rPr>
      </w:pPr>
    </w:p>
    <w:p w14:paraId="27ACBC0B"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Los Juzgados Foráneos que no cuenten con vehículo oficial, el pago de transporte procederá únicamente cuando el gasto sea justificado, anexando la copia fotostática de la diligencia.</w:t>
      </w:r>
    </w:p>
    <w:p w14:paraId="28B6BE5A" w14:textId="77777777" w:rsidR="009919DB" w:rsidRPr="00835574" w:rsidRDefault="009919DB" w:rsidP="009919DB">
      <w:pPr>
        <w:pStyle w:val="Sinespaciado"/>
        <w:jc w:val="both"/>
        <w:rPr>
          <w:rFonts w:eastAsia="Times New Roman"/>
          <w:i/>
          <w:iCs/>
          <w:lang w:eastAsia="es-ES"/>
        </w:rPr>
      </w:pPr>
    </w:p>
    <w:p w14:paraId="05B139B2"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No se deberá adquirir directamente activo fijo (ventiladores, reguladores, impresiones, etc.), las únicas áreas autorizadas para ello son la Dirección de Administración y la Dirección de Gestión Administrativa a través de la Unidad de Recursos Materiales y Servicios Generales, en su caso.</w:t>
      </w:r>
    </w:p>
    <w:p w14:paraId="7AFF2193" w14:textId="77777777" w:rsidR="009919DB" w:rsidRPr="00835574" w:rsidRDefault="009919DB" w:rsidP="009919DB">
      <w:pPr>
        <w:pStyle w:val="Sinespaciado"/>
        <w:jc w:val="both"/>
        <w:rPr>
          <w:rFonts w:eastAsia="Times New Roman"/>
          <w:i/>
          <w:iCs/>
          <w:lang w:eastAsia="es-ES"/>
        </w:rPr>
      </w:pPr>
    </w:p>
    <w:p w14:paraId="28B80249" w14:textId="7D7F7E01"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 xml:space="preserve"> Los gastos por mantenimiento y conservación de inmuebles, para los pagos deberán estar autorizados por la Dirección de Infraestructura, la Dirección de Administración o la Dirección</w:t>
      </w:r>
      <w:r w:rsidR="00A2641A" w:rsidRPr="00835574">
        <w:rPr>
          <w:rFonts w:eastAsia="Times New Roman"/>
          <w:i/>
          <w:iCs/>
          <w:lang w:eastAsia="es-ES"/>
        </w:rPr>
        <w:t xml:space="preserve"> de</w:t>
      </w:r>
      <w:r w:rsidRPr="00835574">
        <w:rPr>
          <w:rFonts w:eastAsia="Times New Roman"/>
          <w:i/>
          <w:iCs/>
          <w:lang w:eastAsia="es-ES"/>
        </w:rPr>
        <w:t xml:space="preserve"> Gestión Administrativa, en su caso, debiendo anexar reporte fotográfico del mismo.</w:t>
      </w:r>
    </w:p>
    <w:p w14:paraId="363C63FE" w14:textId="77777777" w:rsidR="009919DB" w:rsidRPr="00835574" w:rsidRDefault="009919DB" w:rsidP="009919DB">
      <w:pPr>
        <w:pStyle w:val="Sinespaciado"/>
        <w:jc w:val="both"/>
        <w:rPr>
          <w:rFonts w:eastAsia="Times New Roman"/>
          <w:i/>
          <w:iCs/>
          <w:lang w:eastAsia="es-ES"/>
        </w:rPr>
      </w:pPr>
    </w:p>
    <w:p w14:paraId="45D4C6F6"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 xml:space="preserve"> La documentación comprobatoria de los gastos efectuados por los Juzgados de Control y Ejecución, deberán estar autorizados por la Dirección de Administración y de la Secretaría Ejecutiva del Consejo de la Judicatura.</w:t>
      </w:r>
    </w:p>
    <w:p w14:paraId="0EE1B458" w14:textId="77777777" w:rsidR="009919DB" w:rsidRPr="00835574" w:rsidRDefault="009919DB" w:rsidP="009919DB">
      <w:pPr>
        <w:pStyle w:val="Sinespaciado"/>
        <w:jc w:val="both"/>
        <w:rPr>
          <w:rFonts w:eastAsia="Times New Roman"/>
          <w:i/>
          <w:iCs/>
          <w:lang w:eastAsia="es-ES"/>
        </w:rPr>
      </w:pPr>
    </w:p>
    <w:p w14:paraId="03D059CE"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 xml:space="preserve"> Las facturas por gastos de fotocopiado, pasajes terrestres, puentes y peajes, y otros servicios por parte del personal de los juzgados, deberán contar con la autorización de la Secretaría Ejecutiva y de la Dirección de Administración.</w:t>
      </w:r>
    </w:p>
    <w:p w14:paraId="6B11F266" w14:textId="77777777" w:rsidR="009919DB" w:rsidRPr="00835574" w:rsidRDefault="009919DB" w:rsidP="009919DB">
      <w:pPr>
        <w:pStyle w:val="Sinespaciado"/>
        <w:jc w:val="both"/>
        <w:rPr>
          <w:rFonts w:eastAsia="Times New Roman"/>
          <w:i/>
          <w:iCs/>
          <w:lang w:eastAsia="es-ES"/>
        </w:rPr>
      </w:pPr>
    </w:p>
    <w:p w14:paraId="2A8D2699"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 xml:space="preserve"> Los movimientos de personal que deriven de convenios de Sindicatos con la Secretaría de Administración del Gobierno del Estado, solo se autorizarán cuando previamente sea </w:t>
      </w:r>
      <w:r w:rsidRPr="00835574">
        <w:rPr>
          <w:rFonts w:eastAsia="Times New Roman"/>
          <w:i/>
          <w:iCs/>
          <w:lang w:eastAsia="es-ES"/>
        </w:rPr>
        <w:lastRenderedPageBreak/>
        <w:t>entregado el Convenio firmado por los funcionarios facultados y autorizada su adhesión por el Poder Judicial.</w:t>
      </w:r>
    </w:p>
    <w:p w14:paraId="040E72A9" w14:textId="77777777" w:rsidR="009919DB" w:rsidRPr="00835574" w:rsidRDefault="009919DB" w:rsidP="009919DB">
      <w:pPr>
        <w:pStyle w:val="Sinespaciado"/>
        <w:jc w:val="both"/>
        <w:rPr>
          <w:rFonts w:eastAsia="Times New Roman"/>
          <w:i/>
          <w:iCs/>
          <w:lang w:eastAsia="es-ES"/>
        </w:rPr>
      </w:pPr>
    </w:p>
    <w:p w14:paraId="39515DEA" w14:textId="3AF90139"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 xml:space="preserve"> HORAS EXTRAS: Para su pago, únicamente procederá a las áreas autorizadas </w:t>
      </w:r>
      <w:r w:rsidR="00A2641A" w:rsidRPr="00835574">
        <w:rPr>
          <w:rFonts w:eastAsia="Times New Roman"/>
          <w:i/>
          <w:iCs/>
          <w:lang w:eastAsia="es-ES"/>
        </w:rPr>
        <w:t>con</w:t>
      </w:r>
      <w:r w:rsidRPr="00835574">
        <w:rPr>
          <w:rFonts w:eastAsia="Times New Roman"/>
          <w:i/>
          <w:iCs/>
          <w:lang w:eastAsia="es-ES"/>
        </w:rPr>
        <w:t xml:space="preserve"> base </w:t>
      </w:r>
      <w:r w:rsidR="00A2641A" w:rsidRPr="00835574">
        <w:rPr>
          <w:rFonts w:eastAsia="Times New Roman"/>
          <w:i/>
          <w:iCs/>
          <w:lang w:eastAsia="es-ES"/>
        </w:rPr>
        <w:t>en</w:t>
      </w:r>
      <w:r w:rsidRPr="00835574">
        <w:rPr>
          <w:rFonts w:eastAsia="Times New Roman"/>
          <w:i/>
          <w:iCs/>
          <w:lang w:eastAsia="es-ES"/>
        </w:rPr>
        <w:t xml:space="preserve"> la cobertura presupuestal y de acuerdo a las cargas de trabajo de los Juzgados Penales en turno.</w:t>
      </w:r>
    </w:p>
    <w:p w14:paraId="018CAD68" w14:textId="77777777" w:rsidR="009919DB" w:rsidRPr="00835574" w:rsidRDefault="009919DB" w:rsidP="009919DB">
      <w:pPr>
        <w:pStyle w:val="Sinespaciado"/>
        <w:jc w:val="both"/>
        <w:rPr>
          <w:rFonts w:eastAsia="Times New Roman"/>
          <w:i/>
          <w:iCs/>
          <w:lang w:eastAsia="es-ES"/>
        </w:rPr>
      </w:pPr>
    </w:p>
    <w:p w14:paraId="0CE528A1" w14:textId="77777777" w:rsidR="009919DB" w:rsidRPr="00835574" w:rsidRDefault="009919DB">
      <w:pPr>
        <w:pStyle w:val="Sinespaciado"/>
        <w:numPr>
          <w:ilvl w:val="0"/>
          <w:numId w:val="25"/>
        </w:numPr>
        <w:jc w:val="both"/>
        <w:rPr>
          <w:rFonts w:eastAsia="Times New Roman"/>
          <w:i/>
          <w:iCs/>
          <w:lang w:eastAsia="es-ES"/>
        </w:rPr>
      </w:pPr>
      <w:r w:rsidRPr="00835574">
        <w:rPr>
          <w:rFonts w:eastAsia="Times New Roman"/>
          <w:i/>
          <w:iCs/>
          <w:lang w:eastAsia="es-ES"/>
        </w:rPr>
        <w:t>En el caso de prestaciones que se pagan por la actividad que realiza el trabajador (gastos insalubres, ayuda de pasajes), dicha prestación deberá suspenderse cuando el trabajador cambie de actividad, ya que la prestación únicamente se otorga por la actividad que se realiza.</w:t>
      </w:r>
    </w:p>
    <w:p w14:paraId="4E5464A8" w14:textId="77777777" w:rsidR="009919DB" w:rsidRPr="00835574" w:rsidRDefault="009919DB" w:rsidP="009919DB">
      <w:pPr>
        <w:pStyle w:val="Sinespaciado"/>
        <w:jc w:val="both"/>
        <w:rPr>
          <w:i/>
          <w:iCs/>
        </w:rPr>
      </w:pPr>
    </w:p>
    <w:p w14:paraId="16A660E8" w14:textId="77777777" w:rsidR="009919DB" w:rsidRPr="00835574" w:rsidRDefault="009919DB" w:rsidP="009919DB">
      <w:pPr>
        <w:pStyle w:val="Sinespaciado"/>
        <w:numPr>
          <w:ilvl w:val="0"/>
          <w:numId w:val="4"/>
        </w:numPr>
        <w:jc w:val="both"/>
        <w:rPr>
          <w:b/>
          <w:bCs/>
          <w:i/>
          <w:iCs/>
        </w:rPr>
      </w:pPr>
      <w:r w:rsidRPr="00835574">
        <w:rPr>
          <w:b/>
          <w:bCs/>
          <w:i/>
          <w:iCs/>
        </w:rPr>
        <w:t>DEFENSORÍA DE LOS DERECHOS HUMANOS DEL PUEBLO DE OAXACA</w:t>
      </w:r>
    </w:p>
    <w:p w14:paraId="07E0543D" w14:textId="77777777" w:rsidR="009919DB" w:rsidRPr="00835574" w:rsidRDefault="009919DB" w:rsidP="009919DB">
      <w:pPr>
        <w:pStyle w:val="Sinespaciado"/>
        <w:ind w:left="720"/>
        <w:jc w:val="both"/>
        <w:rPr>
          <w:i/>
          <w:iCs/>
        </w:rPr>
      </w:pPr>
    </w:p>
    <w:p w14:paraId="440C653A" w14:textId="77777777" w:rsidR="009919DB" w:rsidRPr="00835574" w:rsidRDefault="009919DB" w:rsidP="009919DB">
      <w:pPr>
        <w:pStyle w:val="Sinespaciado"/>
        <w:jc w:val="both"/>
        <w:rPr>
          <w:i/>
          <w:iCs/>
        </w:rPr>
      </w:pPr>
      <w:r w:rsidRPr="00835574">
        <w:rPr>
          <w:i/>
          <w:iCs/>
        </w:rPr>
        <w:t>La Defensoría de los Derechos Humanos del Pueblo de Oaxaca, es  un organismo público, autónomo, ciudadanizado con personalidad jurídica y patrimonio propio; su objeto es la defensa, protección, promoción, estudio y difusión de los derechos humanos, así como la prevención, atención y erradicación de la discriminación y la violencia que sufren las personas por su condición, posición social, identidad cultural, política, económica, género, discapacidades, origen, orientación y preferencia sexual, ciudadanía, migración, sexo, nacionalidad, salud, religión e ideología, o cualquier otra que vulnere la dignidad de la persona; se rige por los principios de universalidad, irrenunciabilidad, integralidad, exigibilidad y progresividad; es independiente de los poderes del Estado, de cualquier institución o autoridad y goza de autonomía técnica, organizativa, funcional, financiera, presupuestal,  y administrativa.</w:t>
      </w:r>
    </w:p>
    <w:p w14:paraId="229BD3D7" w14:textId="77777777" w:rsidR="009919DB" w:rsidRPr="00835574" w:rsidRDefault="009919DB" w:rsidP="009919DB">
      <w:pPr>
        <w:pStyle w:val="Sinespaciado"/>
        <w:jc w:val="both"/>
        <w:rPr>
          <w:i/>
          <w:iCs/>
        </w:rPr>
      </w:pPr>
    </w:p>
    <w:p w14:paraId="4F1A920E" w14:textId="77777777" w:rsidR="009919DB" w:rsidRPr="00835574" w:rsidRDefault="009919DB">
      <w:pPr>
        <w:pStyle w:val="Sinespaciado"/>
        <w:numPr>
          <w:ilvl w:val="0"/>
          <w:numId w:val="7"/>
        </w:numPr>
        <w:jc w:val="both"/>
        <w:rPr>
          <w:b/>
          <w:i/>
          <w:iCs/>
        </w:rPr>
      </w:pPr>
      <w:r w:rsidRPr="00835574">
        <w:rPr>
          <w:b/>
          <w:i/>
          <w:iCs/>
        </w:rPr>
        <w:t>Autonomía de gestión</w:t>
      </w:r>
    </w:p>
    <w:p w14:paraId="496210B5" w14:textId="77777777" w:rsidR="009919DB" w:rsidRPr="00835574" w:rsidRDefault="009919DB" w:rsidP="009919DB">
      <w:pPr>
        <w:pStyle w:val="Sinespaciado"/>
        <w:jc w:val="both"/>
        <w:rPr>
          <w:b/>
          <w:i/>
          <w:iCs/>
        </w:rPr>
      </w:pPr>
    </w:p>
    <w:p w14:paraId="5227BFA0" w14:textId="30EFCB33" w:rsidR="009919DB" w:rsidRPr="00835574" w:rsidRDefault="009919DB" w:rsidP="009919DB">
      <w:pPr>
        <w:pStyle w:val="Sinespaciado"/>
        <w:jc w:val="both"/>
        <w:rPr>
          <w:i/>
          <w:iCs/>
        </w:rPr>
      </w:pPr>
      <w:r w:rsidRPr="00835574">
        <w:rPr>
          <w:i/>
          <w:iCs/>
        </w:rPr>
        <w:t xml:space="preserve">Se refiere al desarrollo de las funciones, sin subordinación a cualquier tipo o nivel de gobierno, decidir libremente sobre su organización, funcionamiento, financiamiento, administración y resolución a casos concretos que versen en materia de derechos humanos, sobre el principio de autonomía. Por ende, se fortalece su capacidad institucional a través de acciones de reglamentación y normatividad interna. </w:t>
      </w:r>
    </w:p>
    <w:p w14:paraId="7A532443" w14:textId="77777777" w:rsidR="00C24762" w:rsidRPr="00835574" w:rsidRDefault="00C24762" w:rsidP="009919DB">
      <w:pPr>
        <w:pStyle w:val="Sinespaciado"/>
        <w:jc w:val="both"/>
        <w:rPr>
          <w:i/>
          <w:iCs/>
        </w:rPr>
      </w:pPr>
    </w:p>
    <w:p w14:paraId="59EF4F17" w14:textId="62A31C25" w:rsidR="009919DB" w:rsidRPr="00835574" w:rsidRDefault="009919DB" w:rsidP="009919DB">
      <w:pPr>
        <w:pStyle w:val="Sinespaciado"/>
        <w:jc w:val="both"/>
        <w:rPr>
          <w:i/>
          <w:iCs/>
        </w:rPr>
      </w:pPr>
      <w:r w:rsidRPr="00835574">
        <w:rPr>
          <w:i/>
          <w:iCs/>
        </w:rPr>
        <w:t>Esto significa conferir al órgano suficientes atribuciones para que puedan elegir y realizar sus propios objetivos constitucionales, administrativos o económicos, al margen de cuál haya sido la fuente de su presupuesto.</w:t>
      </w:r>
    </w:p>
    <w:p w14:paraId="267B9062" w14:textId="77777777" w:rsidR="00C24762" w:rsidRPr="00835574" w:rsidRDefault="00C24762" w:rsidP="009919DB">
      <w:pPr>
        <w:pStyle w:val="Sinespaciado"/>
        <w:jc w:val="both"/>
        <w:rPr>
          <w:i/>
          <w:iCs/>
        </w:rPr>
      </w:pPr>
    </w:p>
    <w:p w14:paraId="1815409B" w14:textId="0AF2BFEB" w:rsidR="009919DB" w:rsidRPr="00835574" w:rsidRDefault="009919DB" w:rsidP="00B0171B">
      <w:pPr>
        <w:pStyle w:val="Sinespaciado"/>
        <w:jc w:val="both"/>
        <w:rPr>
          <w:i/>
          <w:iCs/>
        </w:rPr>
      </w:pPr>
      <w:r w:rsidRPr="00835574">
        <w:rPr>
          <w:i/>
          <w:iCs/>
        </w:rPr>
        <w:t xml:space="preserve">Esta característica se vincula con la autonomía presupuestaria y el ejercicio del gasto en la medida en que confirma la plena capacidad de una institución para disponer de sus recursos presupuestales, con base en criterios propios vinculados al cumplimiento de su objeto, sus fines y funciones. Destacan la autoridad para definir, en concordancia con su vertiente organizativa, el tamaño de su estructura </w:t>
      </w:r>
      <w:r w:rsidRPr="00835574">
        <w:rPr>
          <w:i/>
          <w:iCs/>
        </w:rPr>
        <w:lastRenderedPageBreak/>
        <w:t>burocrática; para determinar los montos de las remuneraciones y prestaciones de sus funcionarios y empleados; para decidir la adquisición de bienes y servicios, entre otras, que se lleven a cabo con los criterios de eficiencia, eficacia y transparencia, previamente establecidos.</w:t>
      </w:r>
    </w:p>
    <w:p w14:paraId="1DB9490E" w14:textId="77777777" w:rsidR="00B0171B" w:rsidRPr="00835574" w:rsidRDefault="00B0171B" w:rsidP="00B0171B">
      <w:pPr>
        <w:pStyle w:val="Sinespaciado"/>
        <w:jc w:val="both"/>
        <w:rPr>
          <w:b/>
          <w:i/>
          <w:iCs/>
        </w:rPr>
      </w:pPr>
    </w:p>
    <w:p w14:paraId="025C27B8" w14:textId="77777777" w:rsidR="009919DB" w:rsidRPr="00835574" w:rsidRDefault="009919DB">
      <w:pPr>
        <w:pStyle w:val="Sinespaciado"/>
        <w:numPr>
          <w:ilvl w:val="0"/>
          <w:numId w:val="7"/>
        </w:numPr>
        <w:jc w:val="both"/>
        <w:rPr>
          <w:b/>
          <w:i/>
          <w:iCs/>
        </w:rPr>
      </w:pPr>
      <w:r w:rsidRPr="00835574">
        <w:rPr>
          <w:b/>
          <w:i/>
          <w:iCs/>
        </w:rPr>
        <w:t>Autonomía de fiscalización</w:t>
      </w:r>
    </w:p>
    <w:p w14:paraId="246C742B" w14:textId="77777777" w:rsidR="009919DB" w:rsidRPr="00835574" w:rsidRDefault="009919DB" w:rsidP="009919DB">
      <w:pPr>
        <w:pStyle w:val="Sinespaciado"/>
        <w:jc w:val="both"/>
        <w:rPr>
          <w:b/>
          <w:i/>
          <w:iCs/>
        </w:rPr>
      </w:pPr>
    </w:p>
    <w:p w14:paraId="6FB1638C" w14:textId="77777777" w:rsidR="009919DB" w:rsidRPr="00835574" w:rsidRDefault="009919DB" w:rsidP="009919DB">
      <w:pPr>
        <w:pStyle w:val="Sinespaciado"/>
        <w:jc w:val="both"/>
        <w:rPr>
          <w:i/>
          <w:iCs/>
        </w:rPr>
      </w:pPr>
      <w:r w:rsidRPr="00835574">
        <w:rPr>
          <w:i/>
          <w:iCs/>
        </w:rPr>
        <w:t>Parte de la necesidad de que sea el propio órgano quien determine, gestione y administre sus recursos, y el que deba fiscalizarlos a través de órganos técnicos y especializados que dependan orgánicamente de la institución.</w:t>
      </w:r>
    </w:p>
    <w:p w14:paraId="0344DF1C" w14:textId="77777777" w:rsidR="009919DB" w:rsidRPr="00835574" w:rsidRDefault="009919DB" w:rsidP="009919DB">
      <w:pPr>
        <w:pStyle w:val="Sinespaciado"/>
        <w:jc w:val="both"/>
        <w:rPr>
          <w:i/>
          <w:iCs/>
        </w:rPr>
      </w:pPr>
      <w:r w:rsidRPr="00835574">
        <w:rPr>
          <w:i/>
          <w:iCs/>
        </w:rPr>
        <w:t xml:space="preserve">La importancia de la autonomía presupuestal no consiste en los montos económicos de las partidas aprobadas, sino fundamentalmente en que se erige como una condición necesaria para conseguir la independencia de un órgano en relación con los poderes tradicionales. </w:t>
      </w:r>
    </w:p>
    <w:p w14:paraId="042FE25C" w14:textId="77777777" w:rsidR="009919DB" w:rsidRPr="00835574" w:rsidRDefault="009919DB" w:rsidP="009919DB">
      <w:pPr>
        <w:pStyle w:val="Sinespaciado"/>
        <w:jc w:val="both"/>
        <w:rPr>
          <w:i/>
          <w:iCs/>
        </w:rPr>
      </w:pPr>
    </w:p>
    <w:p w14:paraId="3C0B84D8" w14:textId="77777777" w:rsidR="009919DB" w:rsidRPr="00835574" w:rsidRDefault="009919DB">
      <w:pPr>
        <w:pStyle w:val="Sinespaciado"/>
        <w:numPr>
          <w:ilvl w:val="0"/>
          <w:numId w:val="7"/>
        </w:numPr>
        <w:jc w:val="both"/>
        <w:rPr>
          <w:b/>
          <w:i/>
          <w:iCs/>
        </w:rPr>
      </w:pPr>
      <w:r w:rsidRPr="00835574">
        <w:rPr>
          <w:b/>
          <w:i/>
          <w:iCs/>
        </w:rPr>
        <w:t>Planeación estratégica y participativa</w:t>
      </w:r>
    </w:p>
    <w:p w14:paraId="20F41D64" w14:textId="77777777" w:rsidR="009919DB" w:rsidRPr="00835574" w:rsidRDefault="009919DB" w:rsidP="009919DB">
      <w:pPr>
        <w:pStyle w:val="Sinespaciado"/>
        <w:jc w:val="both"/>
        <w:rPr>
          <w:b/>
          <w:i/>
          <w:iCs/>
        </w:rPr>
      </w:pPr>
    </w:p>
    <w:p w14:paraId="50184218" w14:textId="77777777" w:rsidR="009919DB" w:rsidRPr="00835574" w:rsidRDefault="009919DB" w:rsidP="009919DB">
      <w:pPr>
        <w:pStyle w:val="Sinespaciado"/>
        <w:jc w:val="both"/>
        <w:rPr>
          <w:i/>
          <w:iCs/>
        </w:rPr>
      </w:pPr>
      <w:r w:rsidRPr="00835574">
        <w:rPr>
          <w:i/>
          <w:iCs/>
        </w:rPr>
        <w:t>La Defensoría de los Derechos Humanos del Pueblo de Oaxaca, en el marco de la Ley  dará cumplimiento a sus atribuciones mediante el Programa Operativo Anual 2023 y su correspondiente presupuesto,  el cual se formula a partir de procesos de planeación, programación y presupuestación participativa, tomando en cuenta a su Consejo Ciudadano, a las diversas áreas operativas que la conforman, así como a las demandas que plantea la población a este organismo, desarrollando ejercicios de priorización que permita ampliar la cobertura territorial y especializada para una mejor atención de la población a través de las siguientes vertientes sustantivas:</w:t>
      </w:r>
    </w:p>
    <w:p w14:paraId="4DAC7879" w14:textId="77777777" w:rsidR="009919DB" w:rsidRPr="00835574" w:rsidRDefault="009919DB" w:rsidP="009919DB">
      <w:pPr>
        <w:pStyle w:val="Sinespaciado"/>
        <w:jc w:val="both"/>
        <w:rPr>
          <w:i/>
          <w:iCs/>
        </w:rPr>
      </w:pPr>
    </w:p>
    <w:p w14:paraId="6C96870E" w14:textId="77777777" w:rsidR="009919DB" w:rsidRPr="00835574" w:rsidRDefault="009919DB" w:rsidP="009919DB">
      <w:pPr>
        <w:pStyle w:val="Sinespaciado"/>
        <w:jc w:val="both"/>
        <w:rPr>
          <w:i/>
          <w:iCs/>
        </w:rPr>
      </w:pPr>
      <w:r w:rsidRPr="00835574">
        <w:rPr>
          <w:i/>
          <w:iCs/>
        </w:rPr>
        <w:t>1.- Promoción, formación y desarrollo de políticas públicas en Derechos Humanos, que incluirá acciones de educación, capacitación, investigación, promoción y difusión de la cultura de los derechos humanos, así como el diseño, implementación y evaluación de políticas públicas de la materia.</w:t>
      </w:r>
    </w:p>
    <w:p w14:paraId="65C820C4" w14:textId="77777777" w:rsidR="009919DB" w:rsidRPr="00835574" w:rsidRDefault="009919DB" w:rsidP="009919DB">
      <w:pPr>
        <w:pStyle w:val="Sinespaciado"/>
        <w:jc w:val="both"/>
        <w:rPr>
          <w:i/>
          <w:iCs/>
        </w:rPr>
      </w:pPr>
    </w:p>
    <w:p w14:paraId="499DE2A2" w14:textId="77777777" w:rsidR="009919DB" w:rsidRPr="00835574" w:rsidRDefault="009919DB" w:rsidP="009919DB">
      <w:pPr>
        <w:pStyle w:val="Sinespaciado"/>
        <w:jc w:val="both"/>
        <w:rPr>
          <w:i/>
          <w:iCs/>
        </w:rPr>
      </w:pPr>
      <w:r w:rsidRPr="00835574">
        <w:rPr>
          <w:i/>
          <w:iCs/>
        </w:rPr>
        <w:t>2.- Defensa y protección de los Derechos Humanos, que comprende la recepción, atención, estudio, gestión, acompañamiento, resolución y recomendaciones como respuesta a las necesidades planteadas por las personas violentadas en sus derechos humanos; atendidas con calidez, amabilidad, protección y veracidad.</w:t>
      </w:r>
    </w:p>
    <w:p w14:paraId="490C3C1D" w14:textId="77777777" w:rsidR="009919DB" w:rsidRPr="00835574" w:rsidRDefault="009919DB" w:rsidP="009919DB">
      <w:pPr>
        <w:pStyle w:val="Sinespaciado"/>
        <w:jc w:val="both"/>
        <w:rPr>
          <w:i/>
          <w:iCs/>
        </w:rPr>
      </w:pPr>
    </w:p>
    <w:p w14:paraId="756B0783" w14:textId="77777777" w:rsidR="009919DB" w:rsidRPr="00835574" w:rsidRDefault="009919DB" w:rsidP="009919DB">
      <w:pPr>
        <w:pStyle w:val="Sinespaciado"/>
        <w:jc w:val="both"/>
        <w:rPr>
          <w:i/>
          <w:iCs/>
        </w:rPr>
      </w:pPr>
      <w:r w:rsidRPr="00835574">
        <w:rPr>
          <w:i/>
          <w:iCs/>
        </w:rPr>
        <w:t>A continuación, se menciona la estrategia integral:</w:t>
      </w:r>
    </w:p>
    <w:p w14:paraId="260C2AC5" w14:textId="77777777" w:rsidR="009919DB" w:rsidRPr="00835574" w:rsidRDefault="009919DB" w:rsidP="009919DB">
      <w:pPr>
        <w:pStyle w:val="Sinespaciado"/>
        <w:jc w:val="both"/>
        <w:rPr>
          <w:i/>
          <w:iCs/>
        </w:rPr>
      </w:pPr>
    </w:p>
    <w:p w14:paraId="3BD19CE9" w14:textId="77777777" w:rsidR="009919DB" w:rsidRPr="00835574" w:rsidRDefault="009919DB" w:rsidP="009919DB">
      <w:pPr>
        <w:pStyle w:val="Sinespaciado"/>
        <w:jc w:val="both"/>
        <w:rPr>
          <w:i/>
          <w:iCs/>
        </w:rPr>
      </w:pPr>
      <w:r w:rsidRPr="00835574">
        <w:rPr>
          <w:i/>
          <w:iCs/>
        </w:rPr>
        <w:t>Emprende Defensoría de los derechos humanos estrategia integral con municipios de Oaxaca.</w:t>
      </w:r>
    </w:p>
    <w:p w14:paraId="737D6C36" w14:textId="77777777" w:rsidR="009919DB" w:rsidRPr="00835574" w:rsidRDefault="009919DB" w:rsidP="009919DB">
      <w:pPr>
        <w:pStyle w:val="Sinespaciado"/>
        <w:jc w:val="both"/>
        <w:rPr>
          <w:i/>
          <w:iCs/>
        </w:rPr>
      </w:pPr>
    </w:p>
    <w:p w14:paraId="2DAD3E17" w14:textId="77777777" w:rsidR="009919DB" w:rsidRPr="00835574" w:rsidRDefault="009919DB" w:rsidP="009919DB">
      <w:pPr>
        <w:pStyle w:val="Sinespaciado"/>
        <w:jc w:val="both"/>
        <w:rPr>
          <w:i/>
          <w:iCs/>
        </w:rPr>
      </w:pPr>
      <w:r w:rsidRPr="00835574">
        <w:rPr>
          <w:i/>
          <w:iCs/>
        </w:rPr>
        <w:t>Santo Domingo Tehuantepec, Oaxaca. - El titular de la Defensoría de los Derechos Humanos del Pueblo de Oaxaca (DDHPO), Bernardo Rodríguez Alamilla emprendió aquí una estrategia de promoción, prevención y protección de los derechos humanos en los municipios de Oaxaca.</w:t>
      </w:r>
    </w:p>
    <w:p w14:paraId="6A33D68A" w14:textId="77777777" w:rsidR="009919DB" w:rsidRPr="00835574" w:rsidRDefault="009919DB" w:rsidP="009919DB">
      <w:pPr>
        <w:pStyle w:val="Sinespaciado"/>
        <w:jc w:val="both"/>
        <w:rPr>
          <w:i/>
          <w:iCs/>
        </w:rPr>
      </w:pPr>
    </w:p>
    <w:p w14:paraId="61BA5255" w14:textId="77777777" w:rsidR="009919DB" w:rsidRPr="00835574" w:rsidRDefault="009919DB" w:rsidP="009919DB">
      <w:pPr>
        <w:pStyle w:val="Sinespaciado"/>
        <w:jc w:val="both"/>
        <w:rPr>
          <w:i/>
          <w:iCs/>
        </w:rPr>
      </w:pPr>
      <w:r w:rsidRPr="00835574">
        <w:rPr>
          <w:i/>
          <w:iCs/>
        </w:rPr>
        <w:lastRenderedPageBreak/>
        <w:t>Tras firmar un convenio de colaboración como titular del órgano autónomo, con la presidenta municipal de Tehuantepec Vilma Martínez Cortés, resaltó que los ayuntamientos son las autoridades más cercanas a la población y tiene el primer contacto con la sociedad.</w:t>
      </w:r>
    </w:p>
    <w:p w14:paraId="3BE79256" w14:textId="0410DE32" w:rsidR="009919DB" w:rsidRPr="00835574" w:rsidRDefault="009919DB" w:rsidP="009919DB">
      <w:pPr>
        <w:pStyle w:val="Sinespaciado"/>
        <w:jc w:val="both"/>
        <w:rPr>
          <w:i/>
          <w:iCs/>
        </w:rPr>
      </w:pPr>
      <w:r w:rsidRPr="00835574">
        <w:rPr>
          <w:i/>
          <w:iCs/>
        </w:rPr>
        <w:t>Indicó que estadísticamente son los municipios los que presentan el mayor número de quejas interpuestas por los ciudadanos, de tal forma que este acuerdo impulsa la enseñanza de los derechos humanos en el ámbito nacional e internacional, mediante procesos formativos para autoridades y personal del municipio, así como de sus barrios, agencias municipales y de policía.</w:t>
      </w:r>
    </w:p>
    <w:p w14:paraId="1628E461" w14:textId="77777777" w:rsidR="007448E7" w:rsidRPr="00835574" w:rsidRDefault="007448E7" w:rsidP="009919DB">
      <w:pPr>
        <w:pStyle w:val="Sinespaciado"/>
        <w:jc w:val="both"/>
        <w:rPr>
          <w:i/>
          <w:iCs/>
        </w:rPr>
      </w:pPr>
    </w:p>
    <w:p w14:paraId="3DE5D2EC" w14:textId="77777777" w:rsidR="009919DB" w:rsidRPr="00835574" w:rsidRDefault="009919DB" w:rsidP="009919DB">
      <w:pPr>
        <w:pStyle w:val="Sinespaciado"/>
        <w:jc w:val="both"/>
        <w:rPr>
          <w:i/>
          <w:iCs/>
        </w:rPr>
      </w:pPr>
      <w:r w:rsidRPr="00835574">
        <w:rPr>
          <w:i/>
          <w:iCs/>
        </w:rPr>
        <w:t>El titular de la Defensoría reiteró que para la institución es prioritaria la relación con los ayuntamientos ya que contribuye a la difusión y promoción de una cultura de derechos humanos, el respeto por los mismos y una relación de bienestar con las y los habitantes.</w:t>
      </w:r>
    </w:p>
    <w:p w14:paraId="34D96DDE" w14:textId="77777777" w:rsidR="009919DB" w:rsidRPr="00835574" w:rsidRDefault="009919DB" w:rsidP="009919DB">
      <w:pPr>
        <w:pStyle w:val="Sinespaciado"/>
        <w:jc w:val="both"/>
        <w:rPr>
          <w:i/>
          <w:iCs/>
        </w:rPr>
      </w:pPr>
    </w:p>
    <w:p w14:paraId="1458B817" w14:textId="77777777" w:rsidR="009919DB" w:rsidRPr="00835574" w:rsidRDefault="009919DB" w:rsidP="009919DB">
      <w:pPr>
        <w:pStyle w:val="Sinespaciado"/>
        <w:jc w:val="both"/>
        <w:rPr>
          <w:i/>
          <w:iCs/>
        </w:rPr>
      </w:pPr>
      <w:r w:rsidRPr="00835574">
        <w:rPr>
          <w:i/>
          <w:iCs/>
        </w:rPr>
        <w:t>Además de la firma de convenio, la Defensoría llevó a cabo el panel “Derechos de las mujeres a una vida libre de violencia” con la participación de las expertas en la materia, Iliana Araceli Hernández Gómez y Norma Iris Santiago Hernández, moderada por la defensora Especializada en Equidad de Género y Atención a Mujeres Víctimas de Violencia de la DDHPO, Ita Bico Cruz López.</w:t>
      </w:r>
    </w:p>
    <w:p w14:paraId="2A9B070D" w14:textId="77777777" w:rsidR="009919DB" w:rsidRPr="00835574" w:rsidRDefault="009919DB" w:rsidP="009919DB">
      <w:pPr>
        <w:pStyle w:val="Sinespaciado"/>
        <w:jc w:val="both"/>
        <w:rPr>
          <w:i/>
          <w:iCs/>
        </w:rPr>
      </w:pPr>
    </w:p>
    <w:p w14:paraId="186A3625" w14:textId="77777777" w:rsidR="009919DB" w:rsidRPr="00835574" w:rsidRDefault="009919DB" w:rsidP="009919DB">
      <w:pPr>
        <w:pStyle w:val="Sinespaciado"/>
        <w:jc w:val="both"/>
        <w:rPr>
          <w:i/>
          <w:iCs/>
        </w:rPr>
      </w:pPr>
      <w:r w:rsidRPr="00835574">
        <w:rPr>
          <w:i/>
          <w:iCs/>
        </w:rPr>
        <w:t>En su oportunidad, Hernández Gómez, quien es candidata a máster en Filosofía del Derecho y Política por el ITAM- UABJO, presentó las acciones implementadas en materia de Alerta de Género por la ciudad de Oaxaca, tras la declaratoria de esta estrategia en la capital del estado, cuando se encontraba al frente del Instituto Municipal de las Mujeres.</w:t>
      </w:r>
    </w:p>
    <w:p w14:paraId="3DABFAAA" w14:textId="77777777" w:rsidR="009919DB" w:rsidRPr="00835574" w:rsidRDefault="009919DB" w:rsidP="009919DB">
      <w:pPr>
        <w:pStyle w:val="Sinespaciado"/>
        <w:jc w:val="both"/>
        <w:rPr>
          <w:i/>
          <w:iCs/>
        </w:rPr>
      </w:pPr>
    </w:p>
    <w:p w14:paraId="09BC21B4" w14:textId="77777777" w:rsidR="009919DB" w:rsidRPr="00835574" w:rsidRDefault="009919DB" w:rsidP="009919DB">
      <w:pPr>
        <w:pStyle w:val="Sinespaciado"/>
        <w:jc w:val="both"/>
        <w:rPr>
          <w:i/>
          <w:iCs/>
        </w:rPr>
      </w:pPr>
      <w:r w:rsidRPr="00835574">
        <w:rPr>
          <w:i/>
          <w:iCs/>
        </w:rPr>
        <w:t>Detalló que los protocolos incluyeron un mapeo de las zonas de riesgo, el acercamiento del instituto con las mujeres a través de actividades inclusive deportivas, así como mecanismos de prevención y atención de la violencia de género.</w:t>
      </w:r>
    </w:p>
    <w:p w14:paraId="1165B6FB" w14:textId="77777777" w:rsidR="009919DB" w:rsidRPr="00835574" w:rsidRDefault="009919DB" w:rsidP="009919DB">
      <w:pPr>
        <w:pStyle w:val="Sinespaciado"/>
        <w:jc w:val="both"/>
        <w:rPr>
          <w:i/>
          <w:iCs/>
        </w:rPr>
      </w:pPr>
    </w:p>
    <w:p w14:paraId="062984B1" w14:textId="3DAC1010" w:rsidR="009919DB" w:rsidRPr="00835574" w:rsidRDefault="009919DB">
      <w:pPr>
        <w:pStyle w:val="Sinespaciado"/>
        <w:numPr>
          <w:ilvl w:val="0"/>
          <w:numId w:val="7"/>
        </w:numPr>
        <w:jc w:val="both"/>
        <w:rPr>
          <w:b/>
          <w:i/>
          <w:iCs/>
        </w:rPr>
      </w:pPr>
      <w:r w:rsidRPr="00835574">
        <w:rPr>
          <w:b/>
          <w:i/>
          <w:iCs/>
        </w:rPr>
        <w:t>Austeridad Presupuestal y optimización del gasto p</w:t>
      </w:r>
      <w:r w:rsidR="008B0C6B" w:rsidRPr="00835574">
        <w:rPr>
          <w:b/>
          <w:i/>
          <w:iCs/>
        </w:rPr>
        <w:t>ú</w:t>
      </w:r>
      <w:r w:rsidRPr="00835574">
        <w:rPr>
          <w:b/>
          <w:i/>
          <w:iCs/>
        </w:rPr>
        <w:t>blico</w:t>
      </w:r>
    </w:p>
    <w:p w14:paraId="01D4350C" w14:textId="77777777" w:rsidR="009919DB" w:rsidRPr="00835574" w:rsidRDefault="009919DB" w:rsidP="009919DB">
      <w:pPr>
        <w:pStyle w:val="Sinespaciado"/>
        <w:jc w:val="both"/>
        <w:rPr>
          <w:b/>
          <w:i/>
          <w:iCs/>
        </w:rPr>
      </w:pPr>
    </w:p>
    <w:p w14:paraId="4503D06C" w14:textId="77777777" w:rsidR="009919DB" w:rsidRPr="00835574" w:rsidRDefault="009919DB" w:rsidP="009919DB">
      <w:pPr>
        <w:pStyle w:val="Sinespaciado"/>
        <w:jc w:val="both"/>
        <w:rPr>
          <w:i/>
          <w:iCs/>
        </w:rPr>
      </w:pPr>
      <w:r w:rsidRPr="00835574">
        <w:rPr>
          <w:i/>
          <w:iCs/>
        </w:rPr>
        <w:t xml:space="preserve">Será indispensable sujetar el gasto público al Presupuesto aprobado sobre la base de la Ley Estatal de Presupuesto y Responsabilidad Hacendaria, especialmente en materia de austeridad y uso racional de los recursos, sin que esto signifique el abandono u omisión de las obligaciones y responsabilidades que le determina la ley. </w:t>
      </w:r>
    </w:p>
    <w:p w14:paraId="3E5F8884" w14:textId="77777777" w:rsidR="009919DB" w:rsidRPr="00835574" w:rsidRDefault="009919DB" w:rsidP="009919DB">
      <w:pPr>
        <w:pStyle w:val="Sinespaciado"/>
        <w:jc w:val="both"/>
        <w:rPr>
          <w:i/>
          <w:iCs/>
        </w:rPr>
      </w:pPr>
    </w:p>
    <w:p w14:paraId="72051328" w14:textId="77777777" w:rsidR="009919DB" w:rsidRPr="00835574" w:rsidRDefault="009919DB" w:rsidP="009919DB">
      <w:pPr>
        <w:pStyle w:val="Sinespaciado"/>
        <w:jc w:val="both"/>
        <w:rPr>
          <w:i/>
          <w:iCs/>
        </w:rPr>
      </w:pPr>
      <w:r w:rsidRPr="00835574">
        <w:rPr>
          <w:i/>
          <w:iCs/>
        </w:rPr>
        <w:t xml:space="preserve">En este sentido se emprenderán acciones de optimización de los recursos financieros, humanos, materiales, servicios generales e infraestructura de la Defensoría, evitando su uso irracional y maximizando los beneficios para la población oaxaqueña. </w:t>
      </w:r>
    </w:p>
    <w:p w14:paraId="47BCD241" w14:textId="77777777" w:rsidR="009919DB" w:rsidRPr="00835574" w:rsidRDefault="009919DB" w:rsidP="009919DB">
      <w:pPr>
        <w:pStyle w:val="Sinespaciado"/>
        <w:jc w:val="both"/>
        <w:rPr>
          <w:i/>
          <w:iCs/>
        </w:rPr>
      </w:pPr>
    </w:p>
    <w:p w14:paraId="31DAD0AB" w14:textId="77777777" w:rsidR="009919DB" w:rsidRPr="00835574" w:rsidRDefault="009919DB">
      <w:pPr>
        <w:pStyle w:val="Sinespaciado"/>
        <w:numPr>
          <w:ilvl w:val="0"/>
          <w:numId w:val="7"/>
        </w:numPr>
        <w:jc w:val="both"/>
        <w:rPr>
          <w:b/>
          <w:i/>
          <w:iCs/>
        </w:rPr>
      </w:pPr>
      <w:r w:rsidRPr="00835574">
        <w:rPr>
          <w:b/>
          <w:i/>
          <w:iCs/>
        </w:rPr>
        <w:t>Formación y capacitación para el desarrollo de los recursos humanos</w:t>
      </w:r>
    </w:p>
    <w:p w14:paraId="32840DC8" w14:textId="77777777" w:rsidR="009919DB" w:rsidRPr="00835574" w:rsidRDefault="009919DB" w:rsidP="009919DB">
      <w:pPr>
        <w:pStyle w:val="Sinespaciado"/>
        <w:jc w:val="both"/>
        <w:rPr>
          <w:b/>
          <w:i/>
          <w:iCs/>
        </w:rPr>
      </w:pPr>
    </w:p>
    <w:p w14:paraId="0F118D72" w14:textId="77777777" w:rsidR="009919DB" w:rsidRPr="00835574" w:rsidRDefault="009919DB" w:rsidP="009919DB">
      <w:pPr>
        <w:pStyle w:val="Sinespaciado"/>
        <w:jc w:val="both"/>
        <w:rPr>
          <w:i/>
          <w:iCs/>
        </w:rPr>
      </w:pPr>
      <w:r w:rsidRPr="00835574">
        <w:rPr>
          <w:i/>
          <w:iCs/>
        </w:rPr>
        <w:lastRenderedPageBreak/>
        <w:t>En la Constitución Política de los Estados Unidos Mexicanos se encuentran plasmadas las principales leyes que protegen a los trabajadores del país. De ellas derivan otras como la Ley Federal del Trabajo y la Ley de Trabajadores al Servicio del Estado.</w:t>
      </w:r>
    </w:p>
    <w:p w14:paraId="2F6C1573" w14:textId="77777777" w:rsidR="009919DB" w:rsidRPr="00835574" w:rsidRDefault="009919DB" w:rsidP="009919DB">
      <w:pPr>
        <w:pStyle w:val="Sinespaciado"/>
        <w:jc w:val="both"/>
        <w:rPr>
          <w:i/>
          <w:iCs/>
        </w:rPr>
      </w:pPr>
    </w:p>
    <w:p w14:paraId="607F97BF" w14:textId="77777777" w:rsidR="009919DB" w:rsidRPr="00835574" w:rsidRDefault="009919DB" w:rsidP="009919DB">
      <w:pPr>
        <w:pStyle w:val="Sinespaciado"/>
        <w:jc w:val="both"/>
        <w:rPr>
          <w:i/>
          <w:iCs/>
        </w:rPr>
      </w:pPr>
      <w:r w:rsidRPr="00835574">
        <w:rPr>
          <w:i/>
          <w:iCs/>
        </w:rPr>
        <w:t>Al respecto esta Defensoría promoverá acciones de formación profesional, actualización en materia de derechos humanos y capacitación al personal del organismo que permita desarrollarse con eficiencia, eficacia y efectividad.</w:t>
      </w:r>
    </w:p>
    <w:p w14:paraId="19ED525B" w14:textId="77777777" w:rsidR="009919DB" w:rsidRPr="00835574" w:rsidRDefault="009919DB" w:rsidP="009919DB">
      <w:pPr>
        <w:pStyle w:val="Sinespaciado"/>
        <w:jc w:val="both"/>
        <w:rPr>
          <w:i/>
          <w:iCs/>
        </w:rPr>
      </w:pPr>
    </w:p>
    <w:p w14:paraId="407D29FA" w14:textId="77777777" w:rsidR="009919DB" w:rsidRPr="00835574" w:rsidRDefault="009919DB" w:rsidP="009919DB">
      <w:pPr>
        <w:pStyle w:val="Sinespaciado"/>
        <w:jc w:val="both"/>
        <w:rPr>
          <w:i/>
          <w:iCs/>
        </w:rPr>
      </w:pPr>
      <w:r w:rsidRPr="00835574">
        <w:rPr>
          <w:i/>
          <w:iCs/>
        </w:rPr>
        <w:t>La capacitación es un proceso, que parte de la comparación entre las necesidades para cubrir cada puesto y la formación previa que tiene el individuo que lo ocupa, a partir de ahí, se trabaja para cubrir esa brecha.</w:t>
      </w:r>
    </w:p>
    <w:p w14:paraId="1CC02926" w14:textId="77777777" w:rsidR="009919DB" w:rsidRPr="00835574" w:rsidRDefault="009919DB" w:rsidP="009919DB">
      <w:pPr>
        <w:pStyle w:val="Sinespaciado"/>
        <w:jc w:val="both"/>
        <w:rPr>
          <w:i/>
          <w:iCs/>
        </w:rPr>
      </w:pPr>
    </w:p>
    <w:p w14:paraId="12F75BAB" w14:textId="77777777" w:rsidR="009919DB" w:rsidRPr="00835574" w:rsidRDefault="009919DB">
      <w:pPr>
        <w:pStyle w:val="Sinespaciado"/>
        <w:numPr>
          <w:ilvl w:val="0"/>
          <w:numId w:val="7"/>
        </w:numPr>
        <w:jc w:val="both"/>
        <w:rPr>
          <w:b/>
          <w:i/>
          <w:iCs/>
        </w:rPr>
      </w:pPr>
      <w:r w:rsidRPr="00835574">
        <w:rPr>
          <w:b/>
          <w:i/>
          <w:iCs/>
        </w:rPr>
        <w:t>Transparencia del Gasto Público</w:t>
      </w:r>
    </w:p>
    <w:p w14:paraId="36845FD3" w14:textId="77777777" w:rsidR="009919DB" w:rsidRPr="00835574" w:rsidRDefault="009919DB" w:rsidP="009919DB">
      <w:pPr>
        <w:pStyle w:val="Sinespaciado"/>
        <w:jc w:val="both"/>
        <w:rPr>
          <w:b/>
          <w:i/>
          <w:iCs/>
        </w:rPr>
      </w:pPr>
    </w:p>
    <w:p w14:paraId="0F5CFE0B" w14:textId="77777777" w:rsidR="009919DB" w:rsidRPr="00835574" w:rsidRDefault="009919DB" w:rsidP="009919DB">
      <w:pPr>
        <w:pStyle w:val="Sinespaciado"/>
        <w:jc w:val="both"/>
        <w:rPr>
          <w:i/>
          <w:iCs/>
        </w:rPr>
      </w:pPr>
      <w:r w:rsidRPr="00835574">
        <w:rPr>
          <w:i/>
          <w:iCs/>
        </w:rPr>
        <w:t>La transparencia es una pieza clave para la redefinición del sistema político mexicano y, por consiguiente, para el proceso de democratización institucional, en términos de apertura gubernamental, acceso a la información pública y rendición de cuentas. Como consecuencia de ello, es posible replantear la naturaleza, objetivos y fines de las instituciones y el rol de la sociedad.</w:t>
      </w:r>
    </w:p>
    <w:p w14:paraId="7D8A9E0B" w14:textId="77777777" w:rsidR="009919DB" w:rsidRPr="00835574" w:rsidRDefault="009919DB" w:rsidP="009919DB">
      <w:pPr>
        <w:pStyle w:val="Sinespaciado"/>
        <w:jc w:val="both"/>
        <w:rPr>
          <w:i/>
          <w:iCs/>
        </w:rPr>
      </w:pPr>
    </w:p>
    <w:p w14:paraId="49DE1916" w14:textId="77777777" w:rsidR="009919DB" w:rsidRPr="00835574" w:rsidRDefault="009919DB" w:rsidP="009919DB">
      <w:pPr>
        <w:pStyle w:val="Sinespaciado"/>
        <w:jc w:val="both"/>
        <w:rPr>
          <w:i/>
          <w:iCs/>
        </w:rPr>
      </w:pPr>
      <w:r w:rsidRPr="00835574">
        <w:rPr>
          <w:i/>
          <w:iCs/>
        </w:rPr>
        <w:t>Transparentar el ejercicio del gasto público a la población en las vías y medios que indique la legislación en materia de transparencia y acceso a la información pública, con veracidad y oportunidad.</w:t>
      </w:r>
    </w:p>
    <w:p w14:paraId="68753C07" w14:textId="77777777" w:rsidR="009919DB" w:rsidRPr="00835574" w:rsidRDefault="009919DB" w:rsidP="009919DB">
      <w:pPr>
        <w:pStyle w:val="Sinespaciado"/>
        <w:jc w:val="both"/>
        <w:rPr>
          <w:i/>
          <w:iCs/>
        </w:rPr>
      </w:pPr>
    </w:p>
    <w:p w14:paraId="748CCCFB" w14:textId="77777777" w:rsidR="009919DB" w:rsidRPr="00835574" w:rsidRDefault="009919DB" w:rsidP="009919DB">
      <w:pPr>
        <w:pStyle w:val="Sinespaciado"/>
        <w:jc w:val="both"/>
        <w:rPr>
          <w:i/>
          <w:iCs/>
        </w:rPr>
      </w:pPr>
      <w:r w:rsidRPr="00835574">
        <w:rPr>
          <w:i/>
          <w:iCs/>
        </w:rPr>
        <w:t>La transparencia y su correlativo derecho de acceso a la información son dos aspectos relevantes que han sido destacados por el Derecho Internacional de los Derechos Humanos como elementos indispensables para construir y fortalecer las democracias. A su vez, han sido temas retomados en los diálogos e instrumentos internacionales destinados al combate contra la corrupción y la opacidad.</w:t>
      </w:r>
    </w:p>
    <w:p w14:paraId="58A09D5D" w14:textId="77777777" w:rsidR="009919DB" w:rsidRPr="00835574" w:rsidRDefault="009919DB" w:rsidP="009919DB">
      <w:pPr>
        <w:pStyle w:val="Sinespaciado"/>
        <w:jc w:val="both"/>
        <w:rPr>
          <w:i/>
          <w:iCs/>
        </w:rPr>
      </w:pPr>
    </w:p>
    <w:p w14:paraId="24C1CD15" w14:textId="77777777" w:rsidR="009919DB" w:rsidRPr="00835574" w:rsidRDefault="009919DB">
      <w:pPr>
        <w:pStyle w:val="Sinespaciado"/>
        <w:numPr>
          <w:ilvl w:val="0"/>
          <w:numId w:val="7"/>
        </w:numPr>
        <w:jc w:val="both"/>
        <w:rPr>
          <w:b/>
          <w:i/>
          <w:iCs/>
        </w:rPr>
      </w:pPr>
      <w:r w:rsidRPr="00835574">
        <w:rPr>
          <w:b/>
          <w:i/>
          <w:iCs/>
        </w:rPr>
        <w:t>Atención al SARS-CoV2, COVID-19</w:t>
      </w:r>
    </w:p>
    <w:p w14:paraId="39E55F5E" w14:textId="77777777" w:rsidR="009919DB" w:rsidRPr="00835574" w:rsidRDefault="009919DB" w:rsidP="009919DB">
      <w:pPr>
        <w:pStyle w:val="Sinespaciado"/>
        <w:jc w:val="both"/>
        <w:rPr>
          <w:b/>
          <w:i/>
          <w:iCs/>
        </w:rPr>
      </w:pPr>
    </w:p>
    <w:p w14:paraId="2F887097" w14:textId="16DB8FA7" w:rsidR="009919DB" w:rsidRPr="00835574" w:rsidRDefault="009919DB" w:rsidP="009919DB">
      <w:pPr>
        <w:pStyle w:val="Sinespaciado"/>
        <w:jc w:val="both"/>
        <w:rPr>
          <w:i/>
          <w:iCs/>
        </w:rPr>
      </w:pPr>
      <w:r w:rsidRPr="00835574">
        <w:rPr>
          <w:i/>
          <w:iCs/>
        </w:rPr>
        <w:t>Ante los efectos del SARS-CoV2, COVID-19, en las actuales condiciones de austeridad se continuarán implementando acciones para el respeto a los derechos humanos, dirigidas al personal de este organismo, así como hacia la población que vive y transita en el territorio oaxaqueño, otorgando prioridad a los grupos más vulnerables.</w:t>
      </w:r>
    </w:p>
    <w:p w14:paraId="0022A9ED" w14:textId="77777777" w:rsidR="00C24762" w:rsidRPr="00835574" w:rsidRDefault="00C24762" w:rsidP="009919DB">
      <w:pPr>
        <w:pStyle w:val="Sinespaciado"/>
        <w:jc w:val="both"/>
        <w:rPr>
          <w:b/>
          <w:i/>
          <w:iCs/>
        </w:rPr>
      </w:pPr>
    </w:p>
    <w:p w14:paraId="205429B9" w14:textId="21A440EE" w:rsidR="009919DB" w:rsidRPr="00835574" w:rsidRDefault="009919DB" w:rsidP="009919DB">
      <w:pPr>
        <w:pStyle w:val="Sinespaciado"/>
        <w:jc w:val="both"/>
        <w:rPr>
          <w:i/>
          <w:iCs/>
        </w:rPr>
      </w:pPr>
      <w:r w:rsidRPr="00835574">
        <w:rPr>
          <w:i/>
          <w:iCs/>
        </w:rPr>
        <w:t>El acceso abierto a la información es un mecanismo fundamental para facilitar el análisis de datos estadísticos sobre las Solicitudes de Acceso a la Información, presentadas electrónicamente a través de la Plataforma Nacional de Transparencia y el Sistema Infomex Oaxaca, relacionadas con la actual pandemia por COVID</w:t>
      </w:r>
      <w:r w:rsidR="00031EC1" w:rsidRPr="00835574">
        <w:rPr>
          <w:i/>
          <w:iCs/>
        </w:rPr>
        <w:t>-</w:t>
      </w:r>
      <w:r w:rsidRPr="00835574">
        <w:rPr>
          <w:i/>
          <w:iCs/>
        </w:rPr>
        <w:t xml:space="preserve">19 en el estado de Oaxaca, es el objetivo de esta sección (repositorio); brindando, en su caso, consultas para la generación de tablas, gráficos y compartiendo esta </w:t>
      </w:r>
      <w:r w:rsidRPr="00835574">
        <w:rPr>
          <w:i/>
          <w:iCs/>
        </w:rPr>
        <w:lastRenderedPageBreak/>
        <w:t>información de manera sencilla, conociendo las preguntas que los ciudadanos hacen a los diversos temas requeridos, relacionados con este tema.</w:t>
      </w:r>
    </w:p>
    <w:p w14:paraId="57D16204" w14:textId="77777777" w:rsidR="009919DB" w:rsidRPr="00835574" w:rsidRDefault="009919DB" w:rsidP="009919DB">
      <w:pPr>
        <w:pStyle w:val="Sinespaciado"/>
        <w:jc w:val="both"/>
        <w:rPr>
          <w:i/>
          <w:iCs/>
        </w:rPr>
      </w:pPr>
    </w:p>
    <w:p w14:paraId="16AA1C0E" w14:textId="77777777" w:rsidR="009919DB" w:rsidRPr="00835574" w:rsidRDefault="009919DB" w:rsidP="009919DB">
      <w:pPr>
        <w:pStyle w:val="Sinespaciado"/>
        <w:jc w:val="both"/>
        <w:rPr>
          <w:i/>
          <w:iCs/>
        </w:rPr>
      </w:pPr>
      <w:r w:rsidRPr="00835574">
        <w:rPr>
          <w:i/>
          <w:iCs/>
        </w:rPr>
        <w:t>Los datos proporcionados por las aplicaciones muestran el impacto y la utilidad del ejercicio del derecho de acceso a la información durante esta contingencia sanitaria, así como la necesidad de implementar estrategias y buenas prácticas de transparencia focalizada y proactiva, que permita a todos los niveles de gobierno ofrecer y generar información útil y oportuna, independientemente de la suspensión de los plazos legales en materia de Transparencia.</w:t>
      </w:r>
    </w:p>
    <w:p w14:paraId="17030E72" w14:textId="77777777" w:rsidR="009919DB" w:rsidRPr="00835574" w:rsidRDefault="009919DB" w:rsidP="009919DB">
      <w:pPr>
        <w:pStyle w:val="Sinespaciado"/>
        <w:jc w:val="both"/>
        <w:rPr>
          <w:i/>
          <w:iCs/>
        </w:rPr>
      </w:pPr>
    </w:p>
    <w:p w14:paraId="6B4DD838" w14:textId="77777777" w:rsidR="009919DB" w:rsidRPr="00835574" w:rsidRDefault="009919DB" w:rsidP="009919DB">
      <w:pPr>
        <w:pStyle w:val="Sinespaciado"/>
        <w:numPr>
          <w:ilvl w:val="0"/>
          <w:numId w:val="4"/>
        </w:numPr>
        <w:jc w:val="both"/>
        <w:rPr>
          <w:b/>
          <w:bCs/>
          <w:i/>
          <w:iCs/>
        </w:rPr>
      </w:pPr>
      <w:r w:rsidRPr="00835574">
        <w:rPr>
          <w:b/>
          <w:bCs/>
          <w:i/>
          <w:iCs/>
        </w:rPr>
        <w:t>INSTITUTO ESTATAL ELECTORAL Y DE PARTICIPACIÓN CIUDADANA</w:t>
      </w:r>
    </w:p>
    <w:p w14:paraId="246CCE03" w14:textId="77777777" w:rsidR="009919DB" w:rsidRPr="00835574" w:rsidRDefault="009919DB" w:rsidP="009919DB">
      <w:pPr>
        <w:pStyle w:val="Sinespaciado"/>
        <w:ind w:left="720"/>
        <w:jc w:val="both"/>
        <w:rPr>
          <w:b/>
          <w:bCs/>
          <w:i/>
          <w:iCs/>
        </w:rPr>
      </w:pPr>
    </w:p>
    <w:p w14:paraId="7D2811B1" w14:textId="77777777" w:rsidR="009919DB" w:rsidRPr="00835574" w:rsidRDefault="009919DB" w:rsidP="009919DB">
      <w:pPr>
        <w:pStyle w:val="Sinespaciado"/>
        <w:jc w:val="both"/>
        <w:rPr>
          <w:i/>
          <w:iCs/>
        </w:rPr>
      </w:pPr>
      <w:r w:rsidRPr="00835574">
        <w:rPr>
          <w:i/>
          <w:iCs/>
        </w:rPr>
        <w:t>El Instituto Estatal Electoral y de Participación Ciudadana es un Organismo Público Autónomo Local de carácter permanente, profesional en su desempeño, con personalidad jurídica y patrimonio propio, responsable de vigilar el cumplimiento de las disposiciones constitucionales y reglamentarias en materia electoral.</w:t>
      </w:r>
    </w:p>
    <w:p w14:paraId="053BB3E2" w14:textId="77777777" w:rsidR="009919DB" w:rsidRPr="00835574" w:rsidRDefault="009919DB" w:rsidP="009919DB">
      <w:pPr>
        <w:pStyle w:val="Sinespaciado"/>
        <w:jc w:val="both"/>
        <w:rPr>
          <w:i/>
          <w:iCs/>
        </w:rPr>
      </w:pPr>
    </w:p>
    <w:p w14:paraId="5E708CE3" w14:textId="77777777" w:rsidR="009919DB" w:rsidRPr="00835574" w:rsidRDefault="009919DB" w:rsidP="009919DB">
      <w:pPr>
        <w:pStyle w:val="Sinespaciado"/>
        <w:jc w:val="both"/>
        <w:rPr>
          <w:i/>
          <w:iCs/>
        </w:rPr>
      </w:pPr>
      <w:r w:rsidRPr="00835574">
        <w:rPr>
          <w:i/>
          <w:iCs/>
        </w:rPr>
        <w:t xml:space="preserve">Para dar cumplimiento a sus objetivos institucionales; deberá apegarse a los principios de certeza, imparcialidad, independencia, legalidad, interculturalidad, máxima publicidad y objetividad, además de aplicar diversas estrategias y políticas de gasto del ejercicio de los recursos que le serán asignados en el ejercicio 2023, observando los principios de austeridad, planeación eficiencia, eficacia, economía, transparencia y honradez, sin por ello demeritar o dejar de realizar la función de autoridad electoral, depositaria de la función estatal de organizar las elecciones locales y los procesos de participación ciudadana en el Estado. </w:t>
      </w:r>
    </w:p>
    <w:p w14:paraId="1ED9CB9D" w14:textId="77777777" w:rsidR="009919DB" w:rsidRPr="00835574" w:rsidRDefault="009919DB" w:rsidP="009919DB">
      <w:pPr>
        <w:pStyle w:val="Sinespaciado"/>
        <w:jc w:val="both"/>
        <w:rPr>
          <w:i/>
          <w:iCs/>
        </w:rPr>
      </w:pPr>
    </w:p>
    <w:p w14:paraId="24651623" w14:textId="77777777" w:rsidR="009919DB" w:rsidRPr="00835574" w:rsidRDefault="009919DB" w:rsidP="009919DB">
      <w:pPr>
        <w:pStyle w:val="Sinespaciado"/>
        <w:jc w:val="both"/>
        <w:rPr>
          <w:b/>
          <w:i/>
          <w:iCs/>
          <w:shd w:val="clear" w:color="auto" w:fill="FFFFFF"/>
        </w:rPr>
      </w:pPr>
      <w:r w:rsidRPr="00835574">
        <w:rPr>
          <w:b/>
          <w:i/>
          <w:iCs/>
        </w:rPr>
        <w:t>Objetivo General</w:t>
      </w:r>
      <w:r w:rsidRPr="00835574">
        <w:rPr>
          <w:b/>
          <w:i/>
          <w:iCs/>
          <w:shd w:val="clear" w:color="auto" w:fill="FFFFFF"/>
        </w:rPr>
        <w:t>:</w:t>
      </w:r>
    </w:p>
    <w:p w14:paraId="550EF6DC" w14:textId="77777777" w:rsidR="009919DB" w:rsidRPr="00835574" w:rsidRDefault="009919DB" w:rsidP="009919DB">
      <w:pPr>
        <w:pStyle w:val="Sinespaciado"/>
        <w:jc w:val="both"/>
        <w:rPr>
          <w:b/>
          <w:i/>
          <w:iCs/>
          <w:shd w:val="clear" w:color="auto" w:fill="FFFFFF"/>
        </w:rPr>
      </w:pPr>
    </w:p>
    <w:p w14:paraId="3B186840" w14:textId="6EBDEE52" w:rsidR="00B0171B" w:rsidRPr="00835574" w:rsidRDefault="009919DB" w:rsidP="00373877">
      <w:pPr>
        <w:pStyle w:val="Sinespaciado"/>
        <w:jc w:val="both"/>
        <w:rPr>
          <w:i/>
          <w:iCs/>
        </w:rPr>
      </w:pPr>
      <w:r w:rsidRPr="00835574">
        <w:rPr>
          <w:i/>
          <w:iCs/>
        </w:rPr>
        <w:t>Organizar procesos electorales ajustados a los principios de certeza, legalidad, independencia, imparcialidad, interculturalidad, máxima publicidad y objetividad que contribuyan al desarrollo de la vida democrática del Estado, fortalezcan el régimen de partidos políticos y la participación electoral de los candidatos independientes y promuevan el respeto a los sistemas normativos indígenas de los municipios y comunidades indígenas y afromexicanas.</w:t>
      </w:r>
    </w:p>
    <w:p w14:paraId="076CBAAD" w14:textId="77777777" w:rsidR="00373877" w:rsidRPr="00835574" w:rsidRDefault="00373877" w:rsidP="00373877">
      <w:pPr>
        <w:pStyle w:val="Sinespaciado"/>
        <w:jc w:val="both"/>
        <w:rPr>
          <w:b/>
          <w:i/>
          <w:iCs/>
        </w:rPr>
      </w:pPr>
    </w:p>
    <w:p w14:paraId="1509169B" w14:textId="683457C7" w:rsidR="009919DB" w:rsidRPr="00835574" w:rsidRDefault="009919DB" w:rsidP="009919DB">
      <w:pPr>
        <w:pStyle w:val="Sinespaciado"/>
        <w:jc w:val="both"/>
        <w:rPr>
          <w:b/>
          <w:i/>
          <w:iCs/>
        </w:rPr>
      </w:pPr>
      <w:r w:rsidRPr="00835574">
        <w:rPr>
          <w:b/>
          <w:i/>
          <w:iCs/>
        </w:rPr>
        <w:t>Objetivos Específicos:</w:t>
      </w:r>
    </w:p>
    <w:p w14:paraId="18B4FD8C" w14:textId="77777777" w:rsidR="009919DB" w:rsidRPr="00835574" w:rsidRDefault="009919DB" w:rsidP="009919DB">
      <w:pPr>
        <w:pStyle w:val="Sinespaciado"/>
        <w:jc w:val="both"/>
        <w:rPr>
          <w:b/>
          <w:i/>
          <w:iCs/>
          <w:shd w:val="clear" w:color="auto" w:fill="FFFFFF"/>
        </w:rPr>
      </w:pPr>
    </w:p>
    <w:p w14:paraId="726F910A" w14:textId="77777777" w:rsidR="009919DB" w:rsidRPr="00835574" w:rsidRDefault="009919DB">
      <w:pPr>
        <w:pStyle w:val="Sinespaciado"/>
        <w:numPr>
          <w:ilvl w:val="0"/>
          <w:numId w:val="7"/>
        </w:numPr>
        <w:jc w:val="both"/>
        <w:rPr>
          <w:i/>
          <w:iCs/>
        </w:rPr>
      </w:pPr>
      <w:r w:rsidRPr="00835574">
        <w:rPr>
          <w:i/>
          <w:iCs/>
        </w:rPr>
        <w:t>Fomentar el ejercicio de los derechos político-electorales del ciudadano, así como promover y difundir la educación cívica y la cultura democrática en el Estado.</w:t>
      </w:r>
    </w:p>
    <w:p w14:paraId="3D1C1AC7" w14:textId="77777777" w:rsidR="009919DB" w:rsidRPr="00835574" w:rsidRDefault="009919DB">
      <w:pPr>
        <w:pStyle w:val="Sinespaciado"/>
        <w:numPr>
          <w:ilvl w:val="0"/>
          <w:numId w:val="7"/>
        </w:numPr>
        <w:jc w:val="both"/>
        <w:rPr>
          <w:i/>
          <w:iCs/>
        </w:rPr>
      </w:pPr>
      <w:r w:rsidRPr="00835574">
        <w:rPr>
          <w:i/>
          <w:iCs/>
        </w:rPr>
        <w:t>Asegurar a los ciudadanos el ejercicio de los derechos político-electorales, vigilar el cumplimiento de sus obligaciones, así como su efectivo acceso a los mecanismos de participación ciudadana establecidos en la Constitución Local y la Ley de la materia.</w:t>
      </w:r>
    </w:p>
    <w:p w14:paraId="7A3C1EBA" w14:textId="77777777" w:rsidR="009919DB" w:rsidRPr="00835574" w:rsidRDefault="009919DB">
      <w:pPr>
        <w:pStyle w:val="Sinespaciado"/>
        <w:numPr>
          <w:ilvl w:val="0"/>
          <w:numId w:val="7"/>
        </w:numPr>
        <w:jc w:val="both"/>
        <w:rPr>
          <w:i/>
          <w:iCs/>
        </w:rPr>
      </w:pPr>
      <w:r w:rsidRPr="00835574">
        <w:rPr>
          <w:i/>
          <w:iCs/>
        </w:rPr>
        <w:lastRenderedPageBreak/>
        <w:t>Garantizar la celebración periódica y pacífica de las elecciones para renovar a los siguientes poderes legislativo, ejecutivo y de los ayuntamientos que se rigen por el Sistema de Partidos Políticos.</w:t>
      </w:r>
    </w:p>
    <w:p w14:paraId="6F73CEFC" w14:textId="77777777" w:rsidR="009919DB" w:rsidRPr="00835574" w:rsidRDefault="009919DB">
      <w:pPr>
        <w:pStyle w:val="Sinespaciado"/>
        <w:numPr>
          <w:ilvl w:val="0"/>
          <w:numId w:val="7"/>
        </w:numPr>
        <w:jc w:val="both"/>
        <w:rPr>
          <w:i/>
          <w:iCs/>
        </w:rPr>
      </w:pPr>
      <w:r w:rsidRPr="00835574">
        <w:rPr>
          <w:i/>
          <w:iCs/>
        </w:rPr>
        <w:t>Reconocer, respetar y garantizar los Sistemas Normativos Indígenas de los municipios y comunidades indígenas y afromexicanas, en lo referente a su libre determinación expresada en su autonomía para decidir sus formas internas de convivencia, organización política y elección de autoridades o representantes; asegurando la participación de las mujeres en las condiciones de igualdad con los hombres en los términos de la Constitución Federal, los instrumentos jurídicos internacionales suscritos por el Estado Mexicano.</w:t>
      </w:r>
    </w:p>
    <w:p w14:paraId="48D89ED8" w14:textId="77777777" w:rsidR="009919DB" w:rsidRPr="00835574" w:rsidRDefault="009919DB">
      <w:pPr>
        <w:pStyle w:val="Sinespaciado"/>
        <w:numPr>
          <w:ilvl w:val="0"/>
          <w:numId w:val="7"/>
        </w:numPr>
        <w:jc w:val="both"/>
        <w:rPr>
          <w:i/>
          <w:iCs/>
        </w:rPr>
      </w:pPr>
      <w:r w:rsidRPr="00835574">
        <w:rPr>
          <w:i/>
          <w:iCs/>
        </w:rPr>
        <w:t>Fortalecer el régimen de Partidos Políticos y la participación electoral de los Candidatos Independientes.</w:t>
      </w:r>
    </w:p>
    <w:p w14:paraId="3952A3B4" w14:textId="77777777" w:rsidR="009919DB" w:rsidRPr="00835574" w:rsidRDefault="009919DB">
      <w:pPr>
        <w:pStyle w:val="Sinespaciado"/>
        <w:numPr>
          <w:ilvl w:val="0"/>
          <w:numId w:val="7"/>
        </w:numPr>
        <w:jc w:val="both"/>
        <w:rPr>
          <w:i/>
          <w:iCs/>
        </w:rPr>
      </w:pPr>
      <w:r w:rsidRPr="00835574">
        <w:rPr>
          <w:i/>
          <w:iCs/>
        </w:rPr>
        <w:t>Impulsar y garantizar la participación de las mujeres, así como el acceso paritario a los cargos de representación popular en los términos señalados en la Constitución Local y la Ley de Instituciones y Procedimientos Electorales del Estado de Oaxaca.</w:t>
      </w:r>
    </w:p>
    <w:p w14:paraId="325F0510" w14:textId="77777777" w:rsidR="009919DB" w:rsidRPr="00835574" w:rsidRDefault="009919DB" w:rsidP="009919DB">
      <w:pPr>
        <w:pStyle w:val="Sinespaciado"/>
        <w:ind w:left="720"/>
        <w:jc w:val="both"/>
        <w:rPr>
          <w:i/>
          <w:iCs/>
        </w:rPr>
      </w:pPr>
    </w:p>
    <w:p w14:paraId="0251F408" w14:textId="77777777" w:rsidR="009919DB" w:rsidRPr="00835574" w:rsidRDefault="009919DB" w:rsidP="009919DB">
      <w:pPr>
        <w:pStyle w:val="Sinespaciado"/>
        <w:jc w:val="both"/>
        <w:rPr>
          <w:b/>
          <w:i/>
          <w:iCs/>
        </w:rPr>
      </w:pPr>
      <w:r w:rsidRPr="00835574">
        <w:rPr>
          <w:b/>
          <w:i/>
          <w:iCs/>
        </w:rPr>
        <w:t>Estrategias:</w:t>
      </w:r>
    </w:p>
    <w:p w14:paraId="1D0B99BF" w14:textId="77777777" w:rsidR="009919DB" w:rsidRPr="00835574" w:rsidRDefault="009919DB" w:rsidP="009919DB">
      <w:pPr>
        <w:pStyle w:val="Sinespaciado"/>
        <w:jc w:val="both"/>
        <w:rPr>
          <w:i/>
          <w:iCs/>
          <w:shd w:val="clear" w:color="auto" w:fill="FFFFFF"/>
        </w:rPr>
      </w:pPr>
    </w:p>
    <w:p w14:paraId="6115E8C3" w14:textId="77777777" w:rsidR="009919DB" w:rsidRPr="00835574" w:rsidRDefault="009919DB">
      <w:pPr>
        <w:pStyle w:val="Sinespaciado"/>
        <w:numPr>
          <w:ilvl w:val="0"/>
          <w:numId w:val="8"/>
        </w:numPr>
        <w:jc w:val="both"/>
        <w:rPr>
          <w:i/>
          <w:iCs/>
          <w:shd w:val="clear" w:color="auto" w:fill="FFFFFF"/>
        </w:rPr>
      </w:pPr>
      <w:r w:rsidRPr="00835574">
        <w:rPr>
          <w:i/>
          <w:iCs/>
        </w:rPr>
        <w:t>Contar con suficiencia presupuestal que permita la disponibilidad de los recursos necesarios para cumplir con el pago de servicios personales, materiales y suministros, servicios generales, transferencias, asignaciones, subsidios y otras ayudas y con la adquisición de bienes muebles, inmuebles e intangibles.</w:t>
      </w:r>
    </w:p>
    <w:p w14:paraId="208F7069" w14:textId="77777777" w:rsidR="009919DB" w:rsidRPr="00835574" w:rsidRDefault="009919DB">
      <w:pPr>
        <w:pStyle w:val="Sinespaciado"/>
        <w:numPr>
          <w:ilvl w:val="0"/>
          <w:numId w:val="8"/>
        </w:numPr>
        <w:jc w:val="both"/>
        <w:rPr>
          <w:i/>
          <w:iCs/>
          <w:shd w:val="clear" w:color="auto" w:fill="FFFFFF"/>
        </w:rPr>
      </w:pPr>
      <w:r w:rsidRPr="00835574">
        <w:rPr>
          <w:i/>
          <w:iCs/>
        </w:rPr>
        <w:t>Diseñar y vigilar el cumplimiento de los tiempos establecidos del calendario electoral, con el fin de desarrollar cada una de las actividades que comprenden el inicio del proceso electoral ordinario 2023-2024.</w:t>
      </w:r>
    </w:p>
    <w:p w14:paraId="39D83161" w14:textId="77777777" w:rsidR="009919DB" w:rsidRPr="00835574" w:rsidRDefault="009919DB">
      <w:pPr>
        <w:pStyle w:val="Sinespaciado"/>
        <w:numPr>
          <w:ilvl w:val="0"/>
          <w:numId w:val="8"/>
        </w:numPr>
        <w:jc w:val="both"/>
        <w:rPr>
          <w:i/>
          <w:iCs/>
          <w:shd w:val="clear" w:color="auto" w:fill="FFFFFF"/>
        </w:rPr>
      </w:pPr>
      <w:r w:rsidRPr="00835574">
        <w:rPr>
          <w:i/>
          <w:iCs/>
        </w:rPr>
        <w:t>Realizar acciones de difusión a través de los diferentes medios de comunicación, para fortalecer la confianza y la participación ciudadana de la ciudadanía oaxaqueña.</w:t>
      </w:r>
    </w:p>
    <w:p w14:paraId="35EB29C9" w14:textId="77777777" w:rsidR="009919DB" w:rsidRPr="00835574" w:rsidRDefault="009919DB">
      <w:pPr>
        <w:pStyle w:val="Sinespaciado"/>
        <w:numPr>
          <w:ilvl w:val="0"/>
          <w:numId w:val="8"/>
        </w:numPr>
        <w:jc w:val="both"/>
        <w:rPr>
          <w:i/>
          <w:iCs/>
          <w:shd w:val="clear" w:color="auto" w:fill="FFFFFF"/>
        </w:rPr>
      </w:pPr>
      <w:r w:rsidRPr="00835574">
        <w:rPr>
          <w:i/>
          <w:iCs/>
        </w:rPr>
        <w:t>Realizar acciones de promoción del ejercicio de los derechos de los pueblos indígenas, con especial atención en la libre determinación y autonomía, conforme a lo establecido en la legislación federal y estatal.</w:t>
      </w:r>
    </w:p>
    <w:p w14:paraId="19AECBCE" w14:textId="77777777" w:rsidR="009919DB" w:rsidRPr="00835574" w:rsidRDefault="009919DB">
      <w:pPr>
        <w:pStyle w:val="Sinespaciado"/>
        <w:numPr>
          <w:ilvl w:val="0"/>
          <w:numId w:val="8"/>
        </w:numPr>
        <w:jc w:val="both"/>
        <w:rPr>
          <w:i/>
          <w:iCs/>
          <w:shd w:val="clear" w:color="auto" w:fill="FFFFFF"/>
        </w:rPr>
      </w:pPr>
      <w:r w:rsidRPr="00835574">
        <w:rPr>
          <w:i/>
          <w:iCs/>
        </w:rPr>
        <w:t>Fortalecer el principio de transparencia y rendición de cuentas a través de la adecuada aplicación del marco jurídico normativo, para el ejercicio del gasto público.</w:t>
      </w:r>
    </w:p>
    <w:p w14:paraId="7D8AF372" w14:textId="038E9F7B" w:rsidR="00B0171B" w:rsidRPr="00835574" w:rsidRDefault="009919DB" w:rsidP="009919DB">
      <w:pPr>
        <w:pStyle w:val="Sinespaciado"/>
        <w:numPr>
          <w:ilvl w:val="0"/>
          <w:numId w:val="8"/>
        </w:numPr>
        <w:jc w:val="both"/>
        <w:rPr>
          <w:i/>
          <w:iCs/>
          <w:shd w:val="clear" w:color="auto" w:fill="FFFFFF"/>
        </w:rPr>
      </w:pPr>
      <w:r w:rsidRPr="00835574">
        <w:rPr>
          <w:i/>
          <w:iCs/>
        </w:rPr>
        <w:t>Cumplir en tiempo y forma con el acceso a la información pública oportuna y confiable, a través de los diferentes medios correspondientes, con el fin de promover y elevar la participación ciudadana.</w:t>
      </w:r>
    </w:p>
    <w:p w14:paraId="1188E47D" w14:textId="77777777" w:rsidR="00835574" w:rsidRPr="00835574" w:rsidRDefault="00835574" w:rsidP="00835574">
      <w:pPr>
        <w:pStyle w:val="Sinespaciado"/>
        <w:ind w:left="720"/>
        <w:jc w:val="both"/>
        <w:rPr>
          <w:i/>
          <w:iCs/>
          <w:shd w:val="clear" w:color="auto" w:fill="FFFFFF"/>
        </w:rPr>
      </w:pPr>
    </w:p>
    <w:p w14:paraId="0567F009" w14:textId="56AA4A68" w:rsidR="009919DB" w:rsidRPr="00835574" w:rsidRDefault="009919DB" w:rsidP="00B0171B">
      <w:pPr>
        <w:pStyle w:val="Sinespaciado"/>
        <w:ind w:left="720"/>
        <w:jc w:val="both"/>
        <w:rPr>
          <w:i/>
          <w:iCs/>
          <w:shd w:val="clear" w:color="auto" w:fill="FFFFFF"/>
        </w:rPr>
      </w:pPr>
      <w:r w:rsidRPr="00835574">
        <w:rPr>
          <w:b/>
          <w:i/>
          <w:iCs/>
        </w:rPr>
        <w:t xml:space="preserve">Metas del gasto:  </w:t>
      </w:r>
    </w:p>
    <w:p w14:paraId="7F703360" w14:textId="77777777" w:rsidR="009919DB" w:rsidRPr="00835574" w:rsidRDefault="009919DB" w:rsidP="009919DB">
      <w:pPr>
        <w:pStyle w:val="Sinespaciado"/>
        <w:jc w:val="both"/>
        <w:rPr>
          <w:b/>
          <w:i/>
          <w:iCs/>
        </w:rPr>
      </w:pPr>
    </w:p>
    <w:p w14:paraId="0E6FED3A" w14:textId="77777777" w:rsidR="009919DB" w:rsidRPr="00835574" w:rsidRDefault="009919DB">
      <w:pPr>
        <w:pStyle w:val="Sinespaciado"/>
        <w:numPr>
          <w:ilvl w:val="0"/>
          <w:numId w:val="9"/>
        </w:numPr>
        <w:jc w:val="both"/>
        <w:rPr>
          <w:i/>
          <w:iCs/>
        </w:rPr>
      </w:pPr>
      <w:r w:rsidRPr="00835574">
        <w:rPr>
          <w:i/>
          <w:iCs/>
        </w:rPr>
        <w:t>Planear, organizar y dirigir todas las actividades relacionadas con el inicio del proceso electoral ordinario 2023-2024.</w:t>
      </w:r>
    </w:p>
    <w:p w14:paraId="76EC8D94" w14:textId="77777777" w:rsidR="009919DB" w:rsidRPr="00835574" w:rsidRDefault="009919DB">
      <w:pPr>
        <w:pStyle w:val="Sinespaciado"/>
        <w:numPr>
          <w:ilvl w:val="0"/>
          <w:numId w:val="9"/>
        </w:numPr>
        <w:jc w:val="both"/>
        <w:rPr>
          <w:i/>
          <w:iCs/>
        </w:rPr>
      </w:pPr>
      <w:r w:rsidRPr="00835574">
        <w:rPr>
          <w:i/>
          <w:iCs/>
        </w:rPr>
        <w:t>Integrar e instalar los 25 consejos distritales y 153 consejos municipales para el desarrollo del proceso electoral ordinario.</w:t>
      </w:r>
    </w:p>
    <w:p w14:paraId="6C0059DA" w14:textId="77777777" w:rsidR="009919DB" w:rsidRPr="00835574" w:rsidRDefault="009919DB">
      <w:pPr>
        <w:pStyle w:val="Sinespaciado"/>
        <w:numPr>
          <w:ilvl w:val="0"/>
          <w:numId w:val="9"/>
        </w:numPr>
        <w:jc w:val="both"/>
        <w:rPr>
          <w:i/>
          <w:iCs/>
        </w:rPr>
      </w:pPr>
      <w:r w:rsidRPr="00835574">
        <w:rPr>
          <w:i/>
          <w:iCs/>
        </w:rPr>
        <w:lastRenderedPageBreak/>
        <w:t xml:space="preserve">Vigilar el desarrollo de la jornada electoral de la elección para elegir a los representantes de las Diputaciones y Concejalías. </w:t>
      </w:r>
    </w:p>
    <w:p w14:paraId="64840065" w14:textId="77777777" w:rsidR="009919DB" w:rsidRPr="00835574" w:rsidRDefault="009919DB">
      <w:pPr>
        <w:pStyle w:val="Sinespaciado"/>
        <w:numPr>
          <w:ilvl w:val="0"/>
          <w:numId w:val="9"/>
        </w:numPr>
        <w:jc w:val="both"/>
        <w:rPr>
          <w:i/>
          <w:iCs/>
          <w:shd w:val="clear" w:color="auto" w:fill="FFFFFF"/>
        </w:rPr>
      </w:pPr>
      <w:r w:rsidRPr="00835574">
        <w:rPr>
          <w:i/>
          <w:iCs/>
        </w:rPr>
        <w:t>Fortalecer los derechos político-electorales de la ciudadanía oaxaqueña que se rige bajo el Sistema Normativo Indígena; respetando la libre determinación expresada en su autonomía, asegurando la participación de las mujeres en condiciones de igualdad</w:t>
      </w:r>
      <w:r w:rsidRPr="00835574">
        <w:rPr>
          <w:i/>
          <w:iCs/>
          <w:shd w:val="clear" w:color="auto" w:fill="FFFFFF"/>
        </w:rPr>
        <w:t>.</w:t>
      </w:r>
    </w:p>
    <w:p w14:paraId="37101ACD" w14:textId="77777777" w:rsidR="009919DB" w:rsidRPr="00835574" w:rsidRDefault="009919DB">
      <w:pPr>
        <w:pStyle w:val="Sinespaciado"/>
        <w:numPr>
          <w:ilvl w:val="0"/>
          <w:numId w:val="9"/>
        </w:numPr>
        <w:jc w:val="both"/>
        <w:rPr>
          <w:i/>
          <w:iCs/>
        </w:rPr>
      </w:pPr>
      <w:r w:rsidRPr="00835574">
        <w:rPr>
          <w:i/>
          <w:iCs/>
        </w:rPr>
        <w:t>Calificar y en su caso declarar legalmente válidas las elecciones ordinarias y extraordinarias por el régimen de Sistemas Normativos Indígenas a celebrarse durante el ejercicio fiscal 2023.</w:t>
      </w:r>
    </w:p>
    <w:p w14:paraId="7FE10AD4" w14:textId="77777777" w:rsidR="009919DB" w:rsidRPr="00835574" w:rsidRDefault="009919DB">
      <w:pPr>
        <w:pStyle w:val="Sinespaciado"/>
        <w:numPr>
          <w:ilvl w:val="0"/>
          <w:numId w:val="9"/>
        </w:numPr>
        <w:jc w:val="both"/>
        <w:rPr>
          <w:i/>
          <w:iCs/>
        </w:rPr>
      </w:pPr>
      <w:r w:rsidRPr="00835574">
        <w:rPr>
          <w:i/>
          <w:iCs/>
        </w:rPr>
        <w:t>Realizar la ministración oportuna de los recursos asignados a los partidos políticos y candidatos independientes de las prerrogativas ordinarias y específicas que por Ley les corresponden.</w:t>
      </w:r>
    </w:p>
    <w:p w14:paraId="7769577B" w14:textId="77777777" w:rsidR="009919DB" w:rsidRPr="00835574" w:rsidRDefault="009919DB">
      <w:pPr>
        <w:pStyle w:val="Sinespaciado"/>
        <w:numPr>
          <w:ilvl w:val="0"/>
          <w:numId w:val="9"/>
        </w:numPr>
        <w:jc w:val="both"/>
        <w:rPr>
          <w:i/>
          <w:iCs/>
        </w:rPr>
      </w:pPr>
      <w:r w:rsidRPr="00835574">
        <w:rPr>
          <w:i/>
          <w:iCs/>
        </w:rPr>
        <w:t>Fortalecer la educación cívica de la vida democrática en la entidad a través de la promoción y difusión de ferias cívicas.</w:t>
      </w:r>
    </w:p>
    <w:p w14:paraId="1F4DFC40" w14:textId="77777777" w:rsidR="009919DB" w:rsidRPr="00835574" w:rsidRDefault="009919DB">
      <w:pPr>
        <w:pStyle w:val="Sinespaciado"/>
        <w:numPr>
          <w:ilvl w:val="0"/>
          <w:numId w:val="9"/>
        </w:numPr>
        <w:jc w:val="both"/>
        <w:rPr>
          <w:i/>
          <w:iCs/>
        </w:rPr>
      </w:pPr>
      <w:r w:rsidRPr="00835574">
        <w:rPr>
          <w:i/>
          <w:iCs/>
        </w:rPr>
        <w:t>Elevar el porcentaje de participación ciudadana en el proceso electoral ordinario 2023-2024.</w:t>
      </w:r>
    </w:p>
    <w:p w14:paraId="0DD2F2C1" w14:textId="77777777" w:rsidR="009919DB" w:rsidRPr="00835574" w:rsidRDefault="009919DB" w:rsidP="00835574">
      <w:pPr>
        <w:pStyle w:val="Sinespaciado"/>
        <w:ind w:left="720"/>
        <w:jc w:val="both"/>
        <w:rPr>
          <w:i/>
          <w:iCs/>
        </w:rPr>
      </w:pPr>
    </w:p>
    <w:p w14:paraId="70B77EDF" w14:textId="77777777" w:rsidR="009919DB" w:rsidRPr="00835574" w:rsidRDefault="009919DB" w:rsidP="009919DB">
      <w:pPr>
        <w:pStyle w:val="Sinespaciado"/>
        <w:jc w:val="both"/>
        <w:rPr>
          <w:b/>
          <w:i/>
          <w:iCs/>
        </w:rPr>
      </w:pPr>
      <w:r w:rsidRPr="00835574">
        <w:rPr>
          <w:b/>
          <w:i/>
          <w:iCs/>
        </w:rPr>
        <w:t xml:space="preserve">Políticas de gasto:  </w:t>
      </w:r>
    </w:p>
    <w:p w14:paraId="4A8B2A05" w14:textId="77777777" w:rsidR="009919DB" w:rsidRPr="00835574" w:rsidRDefault="009919DB" w:rsidP="009919DB">
      <w:pPr>
        <w:pStyle w:val="Sinespaciado"/>
        <w:jc w:val="both"/>
        <w:rPr>
          <w:i/>
          <w:iCs/>
          <w:shd w:val="clear" w:color="auto" w:fill="FFFFFF"/>
        </w:rPr>
      </w:pPr>
    </w:p>
    <w:p w14:paraId="57D7E924" w14:textId="77777777" w:rsidR="009919DB" w:rsidRPr="00835574" w:rsidRDefault="009919DB" w:rsidP="009919DB">
      <w:pPr>
        <w:pStyle w:val="Sinespaciado"/>
        <w:jc w:val="both"/>
        <w:rPr>
          <w:i/>
          <w:iCs/>
          <w:shd w:val="clear" w:color="auto" w:fill="FFFFFF"/>
        </w:rPr>
      </w:pPr>
      <w:r w:rsidRPr="00835574">
        <w:rPr>
          <w:i/>
          <w:iCs/>
          <w:shd w:val="clear" w:color="auto" w:fill="FFFFFF"/>
        </w:rPr>
        <w:t>Materiales y Suministros</w:t>
      </w:r>
    </w:p>
    <w:p w14:paraId="1117F66D" w14:textId="77777777" w:rsidR="009919DB" w:rsidRPr="00835574" w:rsidRDefault="009919DB" w:rsidP="009919DB">
      <w:pPr>
        <w:pStyle w:val="Sinespaciado"/>
        <w:jc w:val="both"/>
        <w:rPr>
          <w:i/>
          <w:iCs/>
          <w:shd w:val="clear" w:color="auto" w:fill="FFFFFF"/>
        </w:rPr>
      </w:pPr>
    </w:p>
    <w:p w14:paraId="5F558019" w14:textId="77777777" w:rsidR="009919DB" w:rsidRPr="00835574" w:rsidRDefault="009919DB" w:rsidP="009919DB">
      <w:pPr>
        <w:pStyle w:val="Sinespaciado"/>
        <w:jc w:val="both"/>
        <w:rPr>
          <w:i/>
          <w:iCs/>
          <w:u w:val="single"/>
          <w:shd w:val="clear" w:color="auto" w:fill="FFFFFF"/>
        </w:rPr>
      </w:pPr>
      <w:r w:rsidRPr="00835574">
        <w:rPr>
          <w:i/>
          <w:iCs/>
          <w:u w:val="single"/>
        </w:rPr>
        <w:t>Monitorear el uso del material de oficina</w:t>
      </w:r>
      <w:r w:rsidRPr="00835574">
        <w:rPr>
          <w:i/>
          <w:iCs/>
          <w:u w:val="single"/>
          <w:shd w:val="clear" w:color="auto" w:fill="FFFFFF"/>
        </w:rPr>
        <w:t>:</w:t>
      </w:r>
    </w:p>
    <w:p w14:paraId="6E202A60" w14:textId="77777777" w:rsidR="009919DB" w:rsidRPr="00835574" w:rsidRDefault="009919DB" w:rsidP="009919DB">
      <w:pPr>
        <w:pStyle w:val="Sinespaciado"/>
        <w:jc w:val="both"/>
        <w:rPr>
          <w:i/>
          <w:iCs/>
          <w:u w:val="single"/>
          <w:shd w:val="clear" w:color="auto" w:fill="FFFFFF"/>
        </w:rPr>
      </w:pPr>
    </w:p>
    <w:p w14:paraId="6306A945" w14:textId="77777777" w:rsidR="009919DB" w:rsidRPr="00835574" w:rsidRDefault="009919DB" w:rsidP="009919DB">
      <w:pPr>
        <w:pStyle w:val="Sinespaciado"/>
        <w:jc w:val="both"/>
        <w:rPr>
          <w:i/>
          <w:iCs/>
        </w:rPr>
      </w:pPr>
      <w:r w:rsidRPr="00835574">
        <w:rPr>
          <w:i/>
          <w:iCs/>
        </w:rPr>
        <w:t>Concientizar al personal que integra este Instituto a través de talleres recreativos, el uso correcto de los materiales y suministros, otorgados para el desempeño de sus funciones; tales como:</w:t>
      </w:r>
    </w:p>
    <w:p w14:paraId="1198BAC6" w14:textId="77777777" w:rsidR="009919DB" w:rsidRPr="00835574" w:rsidRDefault="009919DB" w:rsidP="009919DB">
      <w:pPr>
        <w:pStyle w:val="Sinespaciado"/>
        <w:jc w:val="both"/>
        <w:rPr>
          <w:i/>
          <w:iCs/>
        </w:rPr>
      </w:pPr>
      <w:r w:rsidRPr="00835574">
        <w:rPr>
          <w:i/>
          <w:iCs/>
        </w:rPr>
        <w:t>Reutilizar el papel reciclado.</w:t>
      </w:r>
    </w:p>
    <w:p w14:paraId="2B41F754" w14:textId="77777777" w:rsidR="009919DB" w:rsidRPr="00835574" w:rsidRDefault="009919DB" w:rsidP="009919DB">
      <w:pPr>
        <w:pStyle w:val="Sinespaciado"/>
        <w:jc w:val="both"/>
        <w:rPr>
          <w:i/>
          <w:iCs/>
        </w:rPr>
      </w:pPr>
      <w:r w:rsidRPr="00835574">
        <w:rPr>
          <w:i/>
          <w:iCs/>
        </w:rPr>
        <w:t>Fomentar que no se realicen impresiones ociosas.</w:t>
      </w:r>
    </w:p>
    <w:p w14:paraId="1CBA0A3D" w14:textId="77777777" w:rsidR="009919DB" w:rsidRPr="00835574" w:rsidRDefault="009919DB" w:rsidP="009919DB">
      <w:pPr>
        <w:pStyle w:val="Sinespaciado"/>
        <w:jc w:val="both"/>
        <w:rPr>
          <w:i/>
          <w:iCs/>
        </w:rPr>
      </w:pPr>
      <w:r w:rsidRPr="00835574">
        <w:rPr>
          <w:i/>
          <w:iCs/>
        </w:rPr>
        <w:t>Contribuir al uso razonable y eficiente de los materiales y útiles de oficina al personal.</w:t>
      </w:r>
    </w:p>
    <w:p w14:paraId="28278CE5" w14:textId="77777777" w:rsidR="009919DB" w:rsidRPr="00835574" w:rsidRDefault="009919DB" w:rsidP="009919DB">
      <w:pPr>
        <w:pStyle w:val="Sinespaciado"/>
        <w:jc w:val="both"/>
        <w:rPr>
          <w:i/>
          <w:iCs/>
        </w:rPr>
      </w:pPr>
      <w:r w:rsidRPr="00835574">
        <w:rPr>
          <w:i/>
          <w:iCs/>
        </w:rPr>
        <w:t>Mejorar el control de la entrega de materiales a las áreas que integran este Instituto.</w:t>
      </w:r>
    </w:p>
    <w:p w14:paraId="1054F2A7" w14:textId="77777777" w:rsidR="009919DB" w:rsidRPr="00835574" w:rsidRDefault="009919DB" w:rsidP="009919DB">
      <w:pPr>
        <w:pStyle w:val="Sinespaciado"/>
        <w:jc w:val="both"/>
        <w:rPr>
          <w:i/>
          <w:iCs/>
        </w:rPr>
      </w:pPr>
    </w:p>
    <w:p w14:paraId="25EDB2C2" w14:textId="77777777" w:rsidR="009919DB" w:rsidRPr="00835574" w:rsidRDefault="009919DB" w:rsidP="009919DB">
      <w:pPr>
        <w:pStyle w:val="Sinespaciado"/>
        <w:jc w:val="both"/>
        <w:rPr>
          <w:i/>
          <w:iCs/>
          <w:u w:val="single"/>
        </w:rPr>
      </w:pPr>
      <w:r w:rsidRPr="00835574">
        <w:rPr>
          <w:i/>
          <w:iCs/>
          <w:u w:val="single"/>
        </w:rPr>
        <w:t>Eficiencia en el uso del combustible:</w:t>
      </w:r>
    </w:p>
    <w:p w14:paraId="2AEF77E5" w14:textId="77777777" w:rsidR="009919DB" w:rsidRPr="00835574" w:rsidRDefault="009919DB" w:rsidP="009919DB">
      <w:pPr>
        <w:pStyle w:val="Sinespaciado"/>
        <w:jc w:val="both"/>
        <w:rPr>
          <w:i/>
          <w:iCs/>
          <w:u w:val="single"/>
        </w:rPr>
      </w:pPr>
    </w:p>
    <w:p w14:paraId="3FD7679B" w14:textId="77777777" w:rsidR="009919DB" w:rsidRPr="00835574" w:rsidRDefault="009919DB" w:rsidP="009919DB">
      <w:pPr>
        <w:pStyle w:val="Sinespaciado"/>
        <w:jc w:val="both"/>
        <w:rPr>
          <w:i/>
          <w:iCs/>
        </w:rPr>
      </w:pPr>
      <w:r w:rsidRPr="00835574">
        <w:rPr>
          <w:i/>
          <w:iCs/>
        </w:rPr>
        <w:t>Reforzar el proceso de control de combustible y lubricantes.</w:t>
      </w:r>
    </w:p>
    <w:p w14:paraId="45AE6FDD" w14:textId="77777777" w:rsidR="009919DB" w:rsidRPr="00835574" w:rsidRDefault="009919DB" w:rsidP="009919DB">
      <w:pPr>
        <w:pStyle w:val="Sinespaciado"/>
        <w:jc w:val="both"/>
        <w:rPr>
          <w:i/>
          <w:iCs/>
        </w:rPr>
      </w:pPr>
      <w:r w:rsidRPr="00835574">
        <w:rPr>
          <w:i/>
          <w:iCs/>
        </w:rPr>
        <w:t>Continuar con la programación de servicios periódicos y oportunos de los vehículos propiedad del Instituto.</w:t>
      </w:r>
    </w:p>
    <w:p w14:paraId="2D7B2D51" w14:textId="77777777" w:rsidR="00373877" w:rsidRPr="00835574" w:rsidRDefault="00373877" w:rsidP="009919DB">
      <w:pPr>
        <w:pStyle w:val="Sinespaciado"/>
        <w:jc w:val="both"/>
        <w:rPr>
          <w:i/>
          <w:iCs/>
          <w:u w:val="single"/>
        </w:rPr>
      </w:pPr>
    </w:p>
    <w:p w14:paraId="1AF30E04" w14:textId="12F07312" w:rsidR="009919DB" w:rsidRPr="00835574" w:rsidRDefault="009919DB" w:rsidP="009919DB">
      <w:pPr>
        <w:pStyle w:val="Sinespaciado"/>
        <w:jc w:val="both"/>
        <w:rPr>
          <w:i/>
          <w:iCs/>
          <w:u w:val="single"/>
        </w:rPr>
      </w:pPr>
      <w:r w:rsidRPr="00835574">
        <w:rPr>
          <w:i/>
          <w:iCs/>
          <w:u w:val="single"/>
        </w:rPr>
        <w:t>Pago a proveedores con recursos presupuestados:</w:t>
      </w:r>
    </w:p>
    <w:p w14:paraId="796D7DFA" w14:textId="77777777" w:rsidR="009919DB" w:rsidRPr="00835574" w:rsidRDefault="009919DB" w:rsidP="009919DB">
      <w:pPr>
        <w:pStyle w:val="Sinespaciado"/>
        <w:jc w:val="both"/>
        <w:rPr>
          <w:i/>
          <w:iCs/>
          <w:u w:val="single"/>
        </w:rPr>
      </w:pPr>
    </w:p>
    <w:p w14:paraId="7886C771" w14:textId="77777777" w:rsidR="009919DB" w:rsidRPr="00835574" w:rsidRDefault="009919DB" w:rsidP="009919DB">
      <w:pPr>
        <w:pStyle w:val="Sinespaciado"/>
        <w:jc w:val="both"/>
        <w:rPr>
          <w:i/>
          <w:iCs/>
        </w:rPr>
      </w:pPr>
      <w:r w:rsidRPr="00835574">
        <w:rPr>
          <w:i/>
          <w:iCs/>
        </w:rPr>
        <w:t>No se contraerá ningún compromiso de gasto con ningún proveedor, si no se cuenta con la suficiencia presupuestal.</w:t>
      </w:r>
    </w:p>
    <w:p w14:paraId="659E4258" w14:textId="77777777" w:rsidR="009919DB" w:rsidRPr="00835574" w:rsidRDefault="009919DB" w:rsidP="009919DB">
      <w:pPr>
        <w:pStyle w:val="Sinespaciado"/>
        <w:jc w:val="both"/>
        <w:rPr>
          <w:i/>
          <w:iCs/>
        </w:rPr>
      </w:pPr>
      <w:r w:rsidRPr="00835574">
        <w:rPr>
          <w:i/>
          <w:iCs/>
        </w:rPr>
        <w:t>Los procesos de adquisición y contratación de materiales y servicios generales se realizarán conforme a la normatividad vigente.</w:t>
      </w:r>
    </w:p>
    <w:p w14:paraId="03641366" w14:textId="77777777" w:rsidR="009919DB" w:rsidRPr="00835574" w:rsidRDefault="009919DB" w:rsidP="009919DB">
      <w:pPr>
        <w:pStyle w:val="Sinespaciado"/>
        <w:jc w:val="both"/>
        <w:rPr>
          <w:i/>
          <w:iCs/>
          <w:u w:val="single"/>
        </w:rPr>
      </w:pPr>
    </w:p>
    <w:p w14:paraId="3148D2F9" w14:textId="77777777" w:rsidR="009919DB" w:rsidRPr="00835574" w:rsidRDefault="009919DB" w:rsidP="009919DB">
      <w:pPr>
        <w:pStyle w:val="Sinespaciado"/>
        <w:jc w:val="both"/>
        <w:rPr>
          <w:i/>
          <w:iCs/>
          <w:shd w:val="clear" w:color="auto" w:fill="FFFFFF"/>
        </w:rPr>
      </w:pPr>
      <w:r w:rsidRPr="00835574">
        <w:rPr>
          <w:i/>
          <w:iCs/>
          <w:shd w:val="clear" w:color="auto" w:fill="FFFFFF"/>
        </w:rPr>
        <w:lastRenderedPageBreak/>
        <w:t>Servicios Generales</w:t>
      </w:r>
    </w:p>
    <w:p w14:paraId="51D266A9" w14:textId="77777777" w:rsidR="009919DB" w:rsidRPr="00835574" w:rsidRDefault="009919DB" w:rsidP="009919DB">
      <w:pPr>
        <w:pStyle w:val="Sinespaciado"/>
        <w:jc w:val="both"/>
        <w:rPr>
          <w:i/>
          <w:iCs/>
          <w:shd w:val="clear" w:color="auto" w:fill="FFFFFF"/>
        </w:rPr>
      </w:pPr>
    </w:p>
    <w:p w14:paraId="0FB930D2" w14:textId="77777777" w:rsidR="009919DB" w:rsidRPr="00835574" w:rsidRDefault="009919DB" w:rsidP="009919DB">
      <w:pPr>
        <w:pStyle w:val="Sinespaciado"/>
        <w:jc w:val="both"/>
        <w:rPr>
          <w:i/>
          <w:iCs/>
          <w:u w:val="single"/>
        </w:rPr>
      </w:pPr>
      <w:r w:rsidRPr="00835574">
        <w:rPr>
          <w:i/>
          <w:iCs/>
          <w:u w:val="single"/>
        </w:rPr>
        <w:t>Supervisar el consumo de energía eléctrica:</w:t>
      </w:r>
    </w:p>
    <w:p w14:paraId="4E92B072" w14:textId="77777777" w:rsidR="009919DB" w:rsidRPr="00835574" w:rsidRDefault="009919DB" w:rsidP="009919DB">
      <w:pPr>
        <w:pStyle w:val="Sinespaciado"/>
        <w:jc w:val="both"/>
        <w:rPr>
          <w:i/>
          <w:iCs/>
          <w:u w:val="single"/>
        </w:rPr>
      </w:pPr>
    </w:p>
    <w:p w14:paraId="6C87DC2E" w14:textId="77777777" w:rsidR="009919DB" w:rsidRPr="00835574" w:rsidRDefault="009919DB" w:rsidP="009919DB">
      <w:pPr>
        <w:pStyle w:val="Sinespaciado"/>
        <w:jc w:val="both"/>
        <w:rPr>
          <w:i/>
          <w:iCs/>
        </w:rPr>
      </w:pPr>
      <w:r w:rsidRPr="00835574">
        <w:rPr>
          <w:i/>
          <w:iCs/>
        </w:rPr>
        <w:t>El Departamento de Recursos Materiales y Servicios Generales, vigilará que los aparatos eléctricos, computadoras y luminarias de las instalaciones que no se encuentren en uso, permanezcan apagados, con el fin de optimizar dicho recurso.</w:t>
      </w:r>
    </w:p>
    <w:p w14:paraId="3316B797" w14:textId="77777777" w:rsidR="009919DB" w:rsidRPr="00835574" w:rsidRDefault="009919DB" w:rsidP="009919DB">
      <w:pPr>
        <w:pStyle w:val="Sinespaciado"/>
        <w:jc w:val="both"/>
        <w:rPr>
          <w:i/>
          <w:iCs/>
        </w:rPr>
      </w:pPr>
    </w:p>
    <w:p w14:paraId="098DDE78" w14:textId="77777777" w:rsidR="009919DB" w:rsidRPr="00835574" w:rsidRDefault="009919DB" w:rsidP="009919DB">
      <w:pPr>
        <w:pStyle w:val="Sinespaciado"/>
        <w:jc w:val="both"/>
        <w:rPr>
          <w:i/>
          <w:iCs/>
          <w:u w:val="single"/>
        </w:rPr>
      </w:pPr>
      <w:r w:rsidRPr="00835574">
        <w:rPr>
          <w:i/>
          <w:iCs/>
          <w:u w:val="single"/>
        </w:rPr>
        <w:t>Cuidar el consumo de agua:</w:t>
      </w:r>
    </w:p>
    <w:p w14:paraId="229C676E" w14:textId="77777777" w:rsidR="009919DB" w:rsidRPr="00835574" w:rsidRDefault="009919DB" w:rsidP="009919DB">
      <w:pPr>
        <w:pStyle w:val="Sinespaciado"/>
        <w:jc w:val="both"/>
        <w:rPr>
          <w:i/>
          <w:iCs/>
          <w:u w:val="single"/>
        </w:rPr>
      </w:pPr>
    </w:p>
    <w:p w14:paraId="6538A586" w14:textId="77777777" w:rsidR="009919DB" w:rsidRPr="00835574" w:rsidRDefault="009919DB" w:rsidP="009919DB">
      <w:pPr>
        <w:pStyle w:val="Sinespaciado"/>
        <w:jc w:val="both"/>
        <w:rPr>
          <w:i/>
          <w:iCs/>
        </w:rPr>
      </w:pPr>
      <w:r w:rsidRPr="00835574">
        <w:rPr>
          <w:i/>
          <w:iCs/>
        </w:rPr>
        <w:t>Revisar y dar mantenimiento preventivo a las instalaciones hidráulicas de acuerdo al programa de trabajo del Departamento de Recursos Materiales y Servicios Generales.</w:t>
      </w:r>
    </w:p>
    <w:p w14:paraId="4932F938" w14:textId="77777777" w:rsidR="009919DB" w:rsidRPr="00835574" w:rsidRDefault="009919DB" w:rsidP="009919DB">
      <w:pPr>
        <w:pStyle w:val="Sinespaciado"/>
        <w:jc w:val="both"/>
        <w:rPr>
          <w:i/>
          <w:iCs/>
        </w:rPr>
      </w:pPr>
    </w:p>
    <w:p w14:paraId="438FB6A1" w14:textId="77777777" w:rsidR="009919DB" w:rsidRPr="00835574" w:rsidRDefault="009919DB" w:rsidP="009919DB">
      <w:pPr>
        <w:pStyle w:val="Sinespaciado"/>
        <w:jc w:val="both"/>
        <w:rPr>
          <w:i/>
          <w:iCs/>
          <w:u w:val="single"/>
        </w:rPr>
      </w:pPr>
      <w:r w:rsidRPr="00835574">
        <w:rPr>
          <w:i/>
          <w:iCs/>
          <w:u w:val="single"/>
        </w:rPr>
        <w:t>Pasajes aéreos:</w:t>
      </w:r>
    </w:p>
    <w:p w14:paraId="7B5E1DCB" w14:textId="77777777" w:rsidR="009919DB" w:rsidRPr="00835574" w:rsidRDefault="009919DB" w:rsidP="009919DB">
      <w:pPr>
        <w:pStyle w:val="Sinespaciado"/>
        <w:jc w:val="both"/>
        <w:rPr>
          <w:i/>
          <w:iCs/>
          <w:u w:val="single"/>
        </w:rPr>
      </w:pPr>
    </w:p>
    <w:p w14:paraId="64A9F6BF" w14:textId="77777777" w:rsidR="009919DB" w:rsidRPr="00835574" w:rsidRDefault="009919DB" w:rsidP="009919DB">
      <w:pPr>
        <w:pStyle w:val="Sinespaciado"/>
        <w:jc w:val="both"/>
        <w:rPr>
          <w:i/>
          <w:iCs/>
        </w:rPr>
      </w:pPr>
      <w:r w:rsidRPr="00835574">
        <w:rPr>
          <w:i/>
          <w:iCs/>
        </w:rPr>
        <w:t>Los gastos por concepto de traslado por vía aérea, serán previamente autorizados por el Secretario Ejecutivo y deberán ser estrictamente indispensables para la consecución de los objetivos y metas de los programas de cada una de las áreas que integran este Instituto.</w:t>
      </w:r>
    </w:p>
    <w:p w14:paraId="676BDCEB" w14:textId="77777777" w:rsidR="009919DB" w:rsidRPr="00835574" w:rsidRDefault="009919DB" w:rsidP="009919DB">
      <w:pPr>
        <w:pStyle w:val="Sinespaciado"/>
        <w:jc w:val="both"/>
        <w:rPr>
          <w:b/>
          <w:i/>
          <w:iCs/>
        </w:rPr>
      </w:pPr>
    </w:p>
    <w:p w14:paraId="300713EA" w14:textId="77777777" w:rsidR="009919DB" w:rsidRPr="00835574" w:rsidRDefault="009919DB" w:rsidP="009919DB">
      <w:pPr>
        <w:pStyle w:val="Sinespaciado"/>
        <w:jc w:val="both"/>
        <w:rPr>
          <w:b/>
          <w:i/>
          <w:iCs/>
        </w:rPr>
      </w:pPr>
      <w:r w:rsidRPr="00835574">
        <w:rPr>
          <w:i/>
          <w:iCs/>
        </w:rPr>
        <w:t>Solo se autorizarán pasajes aéreos a los mandos directivos de acuerdo al organigrama del Instituto.</w:t>
      </w:r>
    </w:p>
    <w:p w14:paraId="1A93CB1B" w14:textId="77777777" w:rsidR="009919DB" w:rsidRPr="00835574" w:rsidRDefault="009919DB" w:rsidP="009919DB">
      <w:pPr>
        <w:pStyle w:val="Sinespaciado"/>
        <w:jc w:val="both"/>
        <w:rPr>
          <w:i/>
          <w:iCs/>
        </w:rPr>
      </w:pPr>
      <w:r w:rsidRPr="00835574">
        <w:rPr>
          <w:i/>
          <w:iCs/>
        </w:rPr>
        <w:t>El gasto por concepto de pasajes aéreos (nacionales y/o internacionales) deberá estar apegado a la disponibilidad presupuestal.</w:t>
      </w:r>
    </w:p>
    <w:p w14:paraId="32E38F25" w14:textId="77777777" w:rsidR="009919DB" w:rsidRPr="00835574" w:rsidRDefault="009919DB" w:rsidP="009919DB">
      <w:pPr>
        <w:pStyle w:val="Sinespaciado"/>
        <w:jc w:val="both"/>
        <w:rPr>
          <w:i/>
          <w:iCs/>
        </w:rPr>
      </w:pPr>
    </w:p>
    <w:p w14:paraId="5EF74B17" w14:textId="77777777" w:rsidR="009919DB" w:rsidRPr="00835574" w:rsidRDefault="009919DB" w:rsidP="009919DB">
      <w:pPr>
        <w:pStyle w:val="Sinespaciado"/>
        <w:jc w:val="both"/>
        <w:rPr>
          <w:i/>
          <w:iCs/>
          <w:u w:val="single"/>
        </w:rPr>
      </w:pPr>
      <w:r w:rsidRPr="00835574">
        <w:rPr>
          <w:i/>
          <w:iCs/>
          <w:u w:val="single"/>
        </w:rPr>
        <w:t>Viáticos y gastos de campo:</w:t>
      </w:r>
    </w:p>
    <w:p w14:paraId="5008AA97" w14:textId="77777777" w:rsidR="009919DB" w:rsidRPr="00835574" w:rsidRDefault="009919DB" w:rsidP="009919DB">
      <w:pPr>
        <w:pStyle w:val="Sinespaciado"/>
        <w:jc w:val="both"/>
        <w:rPr>
          <w:i/>
          <w:iCs/>
          <w:u w:val="single"/>
        </w:rPr>
      </w:pPr>
    </w:p>
    <w:p w14:paraId="778538A5" w14:textId="77777777" w:rsidR="009919DB" w:rsidRPr="00835574" w:rsidRDefault="009919DB" w:rsidP="009919DB">
      <w:pPr>
        <w:pStyle w:val="Sinespaciado"/>
        <w:jc w:val="both"/>
        <w:rPr>
          <w:i/>
          <w:iCs/>
        </w:rPr>
      </w:pPr>
      <w:r w:rsidRPr="00835574">
        <w:rPr>
          <w:i/>
          <w:iCs/>
        </w:rPr>
        <w:t>El pago de viáticos, gastos de campo y los gastos por pasajes terrestres procederán sólo cuando se deriven del cumplimiento de comisiones oficialmente autorizadas y justificadas, acorde con las funciones, programas y proyectos de cada área.</w:t>
      </w:r>
    </w:p>
    <w:p w14:paraId="4CDB1152" w14:textId="77777777" w:rsidR="009919DB" w:rsidRPr="00835574" w:rsidRDefault="009919DB" w:rsidP="009919DB">
      <w:pPr>
        <w:pStyle w:val="Sinespaciado"/>
        <w:jc w:val="both"/>
        <w:rPr>
          <w:i/>
          <w:iCs/>
        </w:rPr>
      </w:pPr>
    </w:p>
    <w:p w14:paraId="0B34488A" w14:textId="37668ED2" w:rsidR="009919DB" w:rsidRPr="00835574" w:rsidRDefault="009919DB" w:rsidP="009919DB">
      <w:pPr>
        <w:pStyle w:val="Sinespaciado"/>
        <w:jc w:val="both"/>
        <w:rPr>
          <w:i/>
          <w:iCs/>
          <w:u w:val="single"/>
        </w:rPr>
      </w:pPr>
      <w:r w:rsidRPr="00835574">
        <w:rPr>
          <w:i/>
          <w:iCs/>
          <w:u w:val="single"/>
        </w:rPr>
        <w:t>Reuniones</w:t>
      </w:r>
      <w:r w:rsidR="00493C08" w:rsidRPr="00835574">
        <w:rPr>
          <w:i/>
          <w:iCs/>
          <w:u w:val="single"/>
        </w:rPr>
        <w:t>,</w:t>
      </w:r>
      <w:r w:rsidRPr="00835574">
        <w:rPr>
          <w:i/>
          <w:iCs/>
          <w:u w:val="single"/>
        </w:rPr>
        <w:t xml:space="preserve"> congresos y convenciones:</w:t>
      </w:r>
    </w:p>
    <w:p w14:paraId="6FCF9020" w14:textId="77777777" w:rsidR="009919DB" w:rsidRPr="00835574" w:rsidRDefault="009919DB" w:rsidP="009919DB">
      <w:pPr>
        <w:pStyle w:val="Sinespaciado"/>
        <w:jc w:val="both"/>
        <w:rPr>
          <w:i/>
          <w:iCs/>
          <w:u w:val="single"/>
        </w:rPr>
      </w:pPr>
    </w:p>
    <w:p w14:paraId="08D90C19" w14:textId="77777777" w:rsidR="009919DB" w:rsidRPr="00835574" w:rsidRDefault="009919DB" w:rsidP="009919DB">
      <w:pPr>
        <w:pStyle w:val="Sinespaciado"/>
        <w:jc w:val="both"/>
        <w:rPr>
          <w:i/>
          <w:iCs/>
        </w:rPr>
      </w:pPr>
      <w:r w:rsidRPr="00835574">
        <w:rPr>
          <w:i/>
          <w:iCs/>
        </w:rPr>
        <w:t>El Secretario Ejecutivo autorizará los eventos programados por las diferentes áreas del Instituto, siempre y cuando estén debidamente justificados y sean necesarios para el cumplimiento de los objetivos institucionales.</w:t>
      </w:r>
    </w:p>
    <w:p w14:paraId="09B1C0ED" w14:textId="77777777" w:rsidR="009919DB" w:rsidRPr="00835574" w:rsidRDefault="009919DB" w:rsidP="009919DB">
      <w:pPr>
        <w:pStyle w:val="Sinespaciado"/>
        <w:jc w:val="both"/>
        <w:rPr>
          <w:i/>
          <w:iCs/>
        </w:rPr>
      </w:pPr>
    </w:p>
    <w:p w14:paraId="0342ED2A" w14:textId="77777777" w:rsidR="009919DB" w:rsidRPr="00835574" w:rsidRDefault="009919DB" w:rsidP="009919DB">
      <w:pPr>
        <w:pStyle w:val="Sinespaciado"/>
        <w:jc w:val="both"/>
        <w:rPr>
          <w:i/>
          <w:iCs/>
        </w:rPr>
      </w:pPr>
      <w:r w:rsidRPr="00835574">
        <w:rPr>
          <w:i/>
          <w:iCs/>
        </w:rPr>
        <w:t>Los eventos se apegarán a los recursos presupuestados de acuerdo al estado del ejercicio presupuestal.</w:t>
      </w:r>
    </w:p>
    <w:p w14:paraId="3991060D" w14:textId="77777777" w:rsidR="009919DB" w:rsidRPr="00835574" w:rsidRDefault="009919DB" w:rsidP="009919DB">
      <w:pPr>
        <w:pStyle w:val="Sinespaciado"/>
        <w:jc w:val="both"/>
        <w:rPr>
          <w:i/>
          <w:iCs/>
        </w:rPr>
      </w:pPr>
    </w:p>
    <w:p w14:paraId="0BA1F77F" w14:textId="77777777" w:rsidR="009919DB" w:rsidRPr="00835574" w:rsidRDefault="009919DB" w:rsidP="009919DB">
      <w:pPr>
        <w:pStyle w:val="Sinespaciado"/>
        <w:jc w:val="both"/>
        <w:rPr>
          <w:i/>
          <w:iCs/>
          <w:shd w:val="clear" w:color="auto" w:fill="FFFFFF"/>
        </w:rPr>
      </w:pPr>
      <w:r w:rsidRPr="00835574">
        <w:rPr>
          <w:i/>
          <w:iCs/>
          <w:shd w:val="clear" w:color="auto" w:fill="FFFFFF"/>
        </w:rPr>
        <w:t>Bienes Muebles, Inmuebles e Intangibles</w:t>
      </w:r>
    </w:p>
    <w:p w14:paraId="5FA0744A" w14:textId="77777777" w:rsidR="009919DB" w:rsidRPr="00835574" w:rsidRDefault="009919DB" w:rsidP="009919DB">
      <w:pPr>
        <w:pStyle w:val="Sinespaciado"/>
        <w:jc w:val="both"/>
        <w:rPr>
          <w:i/>
          <w:iCs/>
          <w:shd w:val="clear" w:color="auto" w:fill="FFFFFF"/>
        </w:rPr>
      </w:pPr>
    </w:p>
    <w:p w14:paraId="299A1AB8" w14:textId="77777777" w:rsidR="009919DB" w:rsidRPr="00835574" w:rsidRDefault="009919DB" w:rsidP="009919DB">
      <w:pPr>
        <w:pStyle w:val="Sinespaciado"/>
        <w:jc w:val="both"/>
        <w:rPr>
          <w:i/>
          <w:iCs/>
          <w:u w:val="single"/>
        </w:rPr>
      </w:pPr>
      <w:r w:rsidRPr="00835574">
        <w:rPr>
          <w:i/>
          <w:iCs/>
          <w:u w:val="single"/>
        </w:rPr>
        <w:t>Uso adecuado de los bienes muebles e inmuebles:</w:t>
      </w:r>
    </w:p>
    <w:p w14:paraId="17FFC489" w14:textId="77777777" w:rsidR="009919DB" w:rsidRPr="00835574" w:rsidRDefault="009919DB" w:rsidP="009919DB">
      <w:pPr>
        <w:pStyle w:val="Sinespaciado"/>
        <w:jc w:val="both"/>
        <w:rPr>
          <w:i/>
          <w:iCs/>
          <w:shd w:val="clear" w:color="auto" w:fill="FFFFFF"/>
        </w:rPr>
      </w:pPr>
    </w:p>
    <w:p w14:paraId="4A237E61" w14:textId="77777777" w:rsidR="009919DB" w:rsidRPr="00835574" w:rsidRDefault="009919DB" w:rsidP="009919DB">
      <w:pPr>
        <w:pStyle w:val="Sinespaciado"/>
        <w:jc w:val="both"/>
        <w:rPr>
          <w:i/>
          <w:iCs/>
        </w:rPr>
      </w:pPr>
      <w:r w:rsidRPr="00835574">
        <w:rPr>
          <w:i/>
          <w:iCs/>
        </w:rPr>
        <w:lastRenderedPageBreak/>
        <w:t xml:space="preserve">Supervisar el uso correcto de los bienes muebles e inmuebles que posee el Instituto, con el fin de mantenerlos en buenas condiciones. </w:t>
      </w:r>
    </w:p>
    <w:p w14:paraId="4EB43B6F" w14:textId="77777777" w:rsidR="009919DB" w:rsidRPr="00835574" w:rsidRDefault="009919DB" w:rsidP="009919DB">
      <w:pPr>
        <w:pStyle w:val="Sinespaciado"/>
        <w:jc w:val="both"/>
        <w:rPr>
          <w:i/>
          <w:iCs/>
        </w:rPr>
      </w:pPr>
      <w:r w:rsidRPr="00835574">
        <w:rPr>
          <w:i/>
          <w:iCs/>
        </w:rPr>
        <w:t>Realizar mantenimiento preventivo a las instalaciones, para evitar posibles daños estructurales y/o reparaciones que pudieran ser más costosas.</w:t>
      </w:r>
    </w:p>
    <w:p w14:paraId="7358F640" w14:textId="77777777" w:rsidR="009919DB" w:rsidRPr="00835574" w:rsidRDefault="009919DB" w:rsidP="009919DB">
      <w:pPr>
        <w:pStyle w:val="Sinespaciado"/>
        <w:jc w:val="both"/>
        <w:rPr>
          <w:i/>
          <w:iCs/>
        </w:rPr>
      </w:pPr>
    </w:p>
    <w:p w14:paraId="36EBE8CA" w14:textId="77777777" w:rsidR="009919DB" w:rsidRPr="00835574" w:rsidRDefault="009919DB" w:rsidP="009919DB">
      <w:pPr>
        <w:pStyle w:val="Sinespaciado"/>
        <w:numPr>
          <w:ilvl w:val="0"/>
          <w:numId w:val="4"/>
        </w:numPr>
        <w:jc w:val="both"/>
        <w:rPr>
          <w:b/>
          <w:bCs/>
          <w:i/>
          <w:iCs/>
        </w:rPr>
      </w:pPr>
      <w:r w:rsidRPr="00835574">
        <w:rPr>
          <w:b/>
          <w:bCs/>
          <w:i/>
          <w:iCs/>
        </w:rPr>
        <w:t>UNIVERSIDAD AUTÓNOMA “BENITO JUÁREZ” DE OAXACA</w:t>
      </w:r>
    </w:p>
    <w:p w14:paraId="134E6AD2" w14:textId="77777777" w:rsidR="009919DB" w:rsidRPr="00835574" w:rsidRDefault="009919DB" w:rsidP="009919DB">
      <w:pPr>
        <w:pStyle w:val="Sinespaciado"/>
        <w:jc w:val="both"/>
        <w:rPr>
          <w:i/>
          <w:iCs/>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828"/>
      </w:tblGrid>
      <w:tr w:rsidR="00835574" w:rsidRPr="00835574" w14:paraId="2E538862" w14:textId="77777777" w:rsidTr="009F17D2">
        <w:trPr>
          <w:trHeight w:val="628"/>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4264C12C"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GESTIÓN PARA LA SOSTENIBILIDAD FINANCIERA DE LA EDUCACIÓN MEDIA SUPERIOR DE LA UNIVERSIDAD AUTÓNOMA “BENITO JUÁREZ” DE OAXACA 2023 (UR 403).</w:t>
            </w:r>
          </w:p>
        </w:tc>
      </w:tr>
      <w:tr w:rsidR="00835574" w:rsidRPr="00835574" w14:paraId="08A6E4F3"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55A3D172"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Alineación al Plan Nacional de Desarrollo 2019-2024</w:t>
            </w:r>
          </w:p>
        </w:tc>
      </w:tr>
      <w:tr w:rsidR="00835574" w:rsidRPr="00835574" w14:paraId="16424C62" w14:textId="77777777" w:rsidTr="009F17D2">
        <w:trPr>
          <w:trHeight w:val="360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5A9EC4A"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Política (s):</w:t>
            </w:r>
            <w:r w:rsidRPr="00835574">
              <w:rPr>
                <w:rStyle w:val="Ninguno"/>
                <w:rFonts w:ascii="Calibri" w:hAnsi="Calibri" w:cs="Calibri"/>
                <w:i/>
                <w:iCs/>
                <w:sz w:val="22"/>
                <w:szCs w:val="22"/>
                <w:lang w:val="es-ES_tradnl"/>
              </w:rPr>
              <w:t xml:space="preserve"> </w:t>
            </w:r>
            <w:r w:rsidRPr="00835574">
              <w:rPr>
                <w:rStyle w:val="Ninguno"/>
                <w:rFonts w:ascii="Calibri" w:hAnsi="Calibri" w:cs="Calibri"/>
                <w:i/>
                <w:iCs/>
                <w:sz w:val="22"/>
                <w:szCs w:val="22"/>
                <w:shd w:val="clear" w:color="auto" w:fill="FFFFFF"/>
                <w:lang w:val="es-ES_tradnl"/>
              </w:rPr>
              <w:t>2. Política Social </w:t>
            </w:r>
          </w:p>
          <w:p w14:paraId="62DA7439"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Objetivo (s):</w:t>
            </w:r>
            <w:r w:rsidRPr="00835574">
              <w:rPr>
                <w:rStyle w:val="Ninguno"/>
                <w:rFonts w:ascii="Calibri" w:hAnsi="Calibri" w:cs="Calibri"/>
                <w:i/>
                <w:iCs/>
                <w:sz w:val="22"/>
                <w:szCs w:val="22"/>
                <w:lang w:val="es-ES_tradnl"/>
              </w:rPr>
              <w:t xml:space="preserve"> </w:t>
            </w:r>
            <w:r w:rsidRPr="00835574">
              <w:rPr>
                <w:rStyle w:val="Ninguno"/>
                <w:rFonts w:ascii="Calibri" w:hAnsi="Calibri" w:cs="Calibri"/>
                <w:i/>
                <w:iCs/>
                <w:sz w:val="22"/>
                <w:szCs w:val="22"/>
                <w:shd w:val="clear" w:color="auto" w:fill="FFFFFF"/>
                <w:lang w:val="es-ES_tradnl"/>
              </w:rPr>
              <w:t>2. Garantizar el derecho de la población en México a una educación de excelencia, pertinente y relevante en los diferentes tipos, niveles y modalidades del Sistema Educativo Nacional.</w:t>
            </w:r>
          </w:p>
          <w:p w14:paraId="71A9A863" w14:textId="77777777" w:rsidR="009919DB" w:rsidRPr="00835574" w:rsidRDefault="009919DB" w:rsidP="009F17D2">
            <w:pPr>
              <w:pStyle w:val="Sinespaciado"/>
              <w:jc w:val="both"/>
              <w:rPr>
                <w:rStyle w:val="Ninguno"/>
                <w:rFonts w:ascii="Calibri" w:eastAsia="Arial" w:hAnsi="Calibri" w:cs="Calibri"/>
                <w:i/>
                <w:iCs/>
                <w:sz w:val="22"/>
                <w:szCs w:val="22"/>
                <w:shd w:val="clear" w:color="auto" w:fill="FFFFFF"/>
              </w:rPr>
            </w:pPr>
            <w:r w:rsidRPr="00835574">
              <w:rPr>
                <w:rStyle w:val="Ninguno"/>
                <w:rFonts w:ascii="Calibri" w:hAnsi="Calibri" w:cs="Calibri"/>
                <w:b/>
                <w:bCs/>
                <w:i/>
                <w:iCs/>
                <w:sz w:val="22"/>
                <w:szCs w:val="22"/>
                <w:lang w:val="es-ES_tradnl"/>
              </w:rPr>
              <w:t>Estrategia (s):</w:t>
            </w:r>
            <w:r w:rsidRPr="00835574">
              <w:rPr>
                <w:rStyle w:val="Ninguno"/>
                <w:rFonts w:ascii="Calibri" w:hAnsi="Calibri" w:cs="Calibri"/>
                <w:b/>
                <w:bCs/>
                <w:i/>
                <w:iCs/>
                <w:sz w:val="22"/>
                <w:szCs w:val="22"/>
                <w:shd w:val="clear" w:color="auto" w:fill="FFFFFF"/>
                <w:lang w:val="es-ES_tradnl"/>
              </w:rPr>
              <w:t xml:space="preserve"> </w:t>
            </w:r>
            <w:r w:rsidRPr="00835574">
              <w:rPr>
                <w:rStyle w:val="Ninguno"/>
                <w:rFonts w:ascii="Calibri" w:hAnsi="Calibri" w:cs="Calibri"/>
                <w:i/>
                <w:iCs/>
                <w:sz w:val="22"/>
                <w:szCs w:val="22"/>
                <w:shd w:val="clear" w:color="auto" w:fill="FFFFFF"/>
                <w:lang w:val="es-ES_tradnl"/>
              </w:rPr>
              <w:t>2.1. Garantizar que los planes y programas de estudio sean pertinentes a los desafíos del siglo XXI y permitan a las niñas, niños, adolescentes y jóvenes adquirir las habilidades y conocimientos para su desarrollo integral.</w:t>
            </w:r>
          </w:p>
          <w:p w14:paraId="14ADDD92" w14:textId="77777777" w:rsidR="009919DB" w:rsidRPr="00835574" w:rsidRDefault="009919DB" w:rsidP="009F17D2">
            <w:pPr>
              <w:pStyle w:val="Sinespaciado"/>
              <w:jc w:val="both"/>
              <w:rPr>
                <w:rStyle w:val="Ninguno"/>
                <w:rFonts w:ascii="Calibri" w:eastAsia="Arial" w:hAnsi="Calibri" w:cs="Calibri"/>
                <w:i/>
                <w:iCs/>
                <w:sz w:val="22"/>
                <w:szCs w:val="22"/>
                <w:shd w:val="clear" w:color="auto" w:fill="FFFFFF"/>
              </w:rPr>
            </w:pPr>
            <w:r w:rsidRPr="00835574">
              <w:rPr>
                <w:rStyle w:val="Ninguno"/>
                <w:rFonts w:ascii="Calibri" w:hAnsi="Calibri" w:cs="Calibri"/>
                <w:b/>
                <w:bCs/>
                <w:i/>
                <w:iCs/>
                <w:sz w:val="22"/>
                <w:szCs w:val="22"/>
                <w:lang w:val="es-ES_tradnl"/>
              </w:rPr>
              <w:t>Línea (s) de acción:</w:t>
            </w:r>
            <w:r w:rsidRPr="00835574">
              <w:rPr>
                <w:rStyle w:val="Ninguno"/>
                <w:rFonts w:ascii="Calibri" w:hAnsi="Calibri" w:cs="Calibri"/>
                <w:i/>
                <w:iCs/>
                <w:sz w:val="22"/>
                <w:szCs w:val="22"/>
                <w:lang w:val="es-ES_tradnl"/>
              </w:rPr>
              <w:t xml:space="preserve"> </w:t>
            </w:r>
            <w:r w:rsidRPr="00835574">
              <w:rPr>
                <w:rStyle w:val="Ninguno"/>
                <w:rFonts w:ascii="Calibri" w:hAnsi="Calibri" w:cs="Calibri"/>
                <w:i/>
                <w:iCs/>
                <w:sz w:val="22"/>
                <w:szCs w:val="22"/>
                <w:shd w:val="clear" w:color="auto" w:fill="FFFFFF"/>
                <w:lang w:val="es-ES_tradnl"/>
              </w:rPr>
              <w:t>2.1.3. Incentivar que los planes de desarrollo de las instituciones de educación superior de todos los subsistemas refuercen el compromiso social con sus comunidades, en los ámbitos local, regional y nacional.</w:t>
            </w:r>
          </w:p>
          <w:p w14:paraId="6D19EA66"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i/>
                <w:iCs/>
                <w:sz w:val="22"/>
                <w:szCs w:val="22"/>
                <w:shd w:val="clear" w:color="auto" w:fill="FFFFFF"/>
                <w:lang w:val="es-ES_tradnl"/>
              </w:rPr>
              <w:t>2.1.7. Promover, con pleno respeto a la autonomía universitaria, procesos de revisión y actualización para la transformación curricular en la educación superior, centrada en la formación integral de las y los estudiantes, con la participación de los actores involucrados en los subsistemas e instituciones.</w:t>
            </w:r>
          </w:p>
        </w:tc>
      </w:tr>
      <w:tr w:rsidR="00835574" w:rsidRPr="00835574" w14:paraId="27D551CC"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087912DD"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Alineación al Plan Sectorial de Educación 2016-2022</w:t>
            </w:r>
            <w:r w:rsidRPr="00835574">
              <w:rPr>
                <w:rStyle w:val="Ninguno"/>
                <w:rFonts w:ascii="Calibri" w:hAnsi="Calibri" w:cs="Calibri"/>
                <w:b/>
                <w:bCs/>
                <w:i/>
                <w:iCs/>
                <w:sz w:val="22"/>
                <w:szCs w:val="22"/>
                <w:lang w:val="es-ES_tradnl"/>
              </w:rPr>
              <w:tab/>
            </w:r>
          </w:p>
        </w:tc>
      </w:tr>
      <w:tr w:rsidR="00835574" w:rsidRPr="00835574" w14:paraId="08BE99C0" w14:textId="77777777" w:rsidTr="009F17D2">
        <w:trPr>
          <w:trHeight w:val="252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AFCAB6" w14:textId="77777777" w:rsidR="009919DB" w:rsidRPr="00835574" w:rsidRDefault="009919DB" w:rsidP="009F17D2">
            <w:pPr>
              <w:pStyle w:val="Sinespaciado"/>
              <w:jc w:val="both"/>
              <w:rPr>
                <w:rStyle w:val="Ninguno"/>
                <w:rFonts w:ascii="Calibri" w:hAnsi="Calibri" w:cs="Calibri"/>
                <w:i/>
                <w:iCs/>
                <w:sz w:val="22"/>
                <w:szCs w:val="22"/>
              </w:rPr>
            </w:pPr>
            <w:r w:rsidRPr="00835574">
              <w:rPr>
                <w:rStyle w:val="Ninguno"/>
                <w:rFonts w:ascii="Calibri" w:hAnsi="Calibri" w:cs="Calibri"/>
                <w:b/>
                <w:bCs/>
                <w:i/>
                <w:iCs/>
                <w:sz w:val="22"/>
                <w:szCs w:val="22"/>
                <w:lang w:val="es-ES_tradnl"/>
              </w:rPr>
              <w:t>Objetivo (s):</w:t>
            </w:r>
            <w:r w:rsidRPr="00835574">
              <w:rPr>
                <w:rStyle w:val="Ninguno"/>
                <w:rFonts w:ascii="Calibri" w:hAnsi="Calibri" w:cs="Calibri"/>
                <w:i/>
                <w:iCs/>
                <w:sz w:val="22"/>
                <w:szCs w:val="22"/>
                <w:lang w:val="es-ES_tradnl"/>
              </w:rPr>
              <w:t xml:space="preserve"> 1.  Ampliar la matrícula de Educación Superior promoviendo la formación de capital humano de alto nivel con una Educación Superior de calidad y pertinencia para el Estado. </w:t>
            </w:r>
          </w:p>
          <w:p w14:paraId="1C008C86"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Estrategia (s):</w:t>
            </w:r>
            <w:r w:rsidRPr="00835574">
              <w:rPr>
                <w:rStyle w:val="Ninguno"/>
                <w:rFonts w:ascii="Calibri" w:hAnsi="Calibri" w:cs="Calibri"/>
                <w:i/>
                <w:iCs/>
                <w:sz w:val="22"/>
                <w:szCs w:val="22"/>
                <w:lang w:val="es-ES_tradnl"/>
              </w:rPr>
              <w:t xml:space="preserve"> 1. Fortalecer la actualización y profesionalización docente y directiva.</w:t>
            </w:r>
          </w:p>
          <w:p w14:paraId="5C1BB370"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i/>
                <w:iCs/>
                <w:sz w:val="22"/>
                <w:szCs w:val="22"/>
                <w:lang w:val="es-ES_tradnl"/>
              </w:rPr>
              <w:t>1.2. Facilitar la inserción laboral de la juventud mediante esquemas flexibles para la acreditación y certificación de competencias.</w:t>
            </w:r>
          </w:p>
          <w:p w14:paraId="2DBFC9D2"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Línea (s) de acción</w:t>
            </w:r>
            <w:r w:rsidRPr="00835574">
              <w:rPr>
                <w:rStyle w:val="Ninguno"/>
                <w:rFonts w:ascii="Calibri" w:hAnsi="Calibri" w:cs="Calibri"/>
                <w:i/>
                <w:iCs/>
                <w:sz w:val="22"/>
                <w:szCs w:val="22"/>
                <w:lang w:val="es-ES_tradnl"/>
              </w:rPr>
              <w:t>: 1.1. Ampliar los programas de tutorías y asesorías académicas para apoyar al estudiantado con bajo rendimiento académico.</w:t>
            </w:r>
          </w:p>
          <w:p w14:paraId="31AE59FA"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i/>
                <w:iCs/>
                <w:sz w:val="22"/>
                <w:szCs w:val="22"/>
                <w:lang w:val="es-ES_tradnl"/>
              </w:rPr>
              <w:t>1.2. Propiciar la firma de convenios con organismos e instituciones nacionales e internacionales con el objetivo de impulsar la movilidad docente y estudiantil.</w:t>
            </w:r>
          </w:p>
        </w:tc>
      </w:tr>
      <w:tr w:rsidR="00835574" w:rsidRPr="00835574" w14:paraId="5C2D9EF3"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131D0AA2"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Alineación al Plan Estatal de Desarrollo 2016-2022</w:t>
            </w:r>
          </w:p>
        </w:tc>
      </w:tr>
      <w:tr w:rsidR="00835574" w:rsidRPr="00835574" w14:paraId="36C5E8DC" w14:textId="77777777" w:rsidTr="009F17D2">
        <w:trPr>
          <w:trHeight w:val="2569"/>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37AFA9"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lastRenderedPageBreak/>
              <w:t>Política (s):</w:t>
            </w:r>
            <w:r w:rsidRPr="00835574">
              <w:rPr>
                <w:rStyle w:val="Ninguno"/>
                <w:rFonts w:ascii="Calibri" w:hAnsi="Calibri" w:cs="Calibri"/>
                <w:i/>
                <w:iCs/>
                <w:sz w:val="22"/>
                <w:szCs w:val="22"/>
                <w:lang w:val="es-ES_tradnl"/>
              </w:rPr>
              <w:t xml:space="preserve"> 1. Oaxaca incluyente con Desarrollo Social (Educación) </w:t>
            </w:r>
          </w:p>
          <w:p w14:paraId="3C5AC900"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Objetivo (s):</w:t>
            </w:r>
            <w:r w:rsidRPr="00835574">
              <w:rPr>
                <w:rStyle w:val="Ninguno"/>
                <w:rFonts w:ascii="Calibri" w:hAnsi="Calibri" w:cs="Calibri"/>
                <w:i/>
                <w:iCs/>
                <w:sz w:val="22"/>
                <w:szCs w:val="22"/>
                <w:lang w:val="es-ES_tradnl"/>
              </w:rPr>
              <w:t xml:space="preserve"> 3. Ampliar y diversificar la oferta de Educación Superior en Oaxaca para atender la demanda de manera accesible y con equidad.</w:t>
            </w:r>
          </w:p>
          <w:p w14:paraId="01DDE057"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Estrategia (s</w:t>
            </w:r>
            <w:r w:rsidRPr="00835574">
              <w:rPr>
                <w:rStyle w:val="Ninguno"/>
                <w:rFonts w:ascii="Calibri" w:hAnsi="Calibri" w:cs="Calibri"/>
                <w:i/>
                <w:iCs/>
                <w:sz w:val="22"/>
                <w:szCs w:val="22"/>
                <w:lang w:val="es-ES_tradnl"/>
              </w:rPr>
              <w:t>): 3.1. Promover la ampliación de la oferta de Educación Superior con modelos innovadores y el apoyo de las TIC’S.</w:t>
            </w:r>
          </w:p>
          <w:p w14:paraId="37F42D31"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i/>
                <w:iCs/>
                <w:sz w:val="22"/>
                <w:szCs w:val="22"/>
                <w:lang w:val="es-ES_tradnl"/>
              </w:rPr>
              <w:t>3.2. Coadyuvar en el incremento de la cobertura social de Educación Superior en el Estado y elevar la absorción a la Educación Superior durante este sexenio.</w:t>
            </w:r>
          </w:p>
          <w:p w14:paraId="2D768480"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i/>
                <w:iCs/>
                <w:sz w:val="22"/>
                <w:szCs w:val="22"/>
                <w:lang w:val="es-ES_tradnl"/>
              </w:rPr>
              <w:t>3.7. Gestionar recursos de la Federación y del Gobierno del Estado para proyectos de inversión, entre ellos los de Fondos Concursables, con la finalidad de ampliar la infraestructura educativa en programas de alta pertinencia</w:t>
            </w:r>
            <w:r w:rsidRPr="00835574">
              <w:rPr>
                <w:rStyle w:val="Ninguno"/>
                <w:rFonts w:ascii="Calibri" w:hAnsi="Calibri" w:cs="Calibri"/>
                <w:b/>
                <w:bCs/>
                <w:i/>
                <w:iCs/>
                <w:sz w:val="22"/>
                <w:szCs w:val="22"/>
                <w:lang w:val="es-ES_tradnl"/>
              </w:rPr>
              <w:t>.</w:t>
            </w:r>
          </w:p>
        </w:tc>
      </w:tr>
      <w:tr w:rsidR="00835574" w:rsidRPr="00835574" w14:paraId="7AF95C9B"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618308E6"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Alineación al Plan Municipal de Desarrollo 2022-2024</w:t>
            </w:r>
          </w:p>
        </w:tc>
      </w:tr>
      <w:tr w:rsidR="00835574" w:rsidRPr="00835574" w14:paraId="4FA11989" w14:textId="77777777" w:rsidTr="009F17D2">
        <w:trPr>
          <w:trHeight w:val="140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62AC94"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Eje (s):</w:t>
            </w:r>
            <w:r w:rsidRPr="00835574">
              <w:rPr>
                <w:rStyle w:val="Ninguno"/>
                <w:rFonts w:ascii="Calibri" w:hAnsi="Calibri" w:cs="Calibri"/>
                <w:i/>
                <w:iCs/>
                <w:sz w:val="22"/>
                <w:szCs w:val="22"/>
                <w:lang w:val="es-ES_tradnl"/>
              </w:rPr>
              <w:t xml:space="preserve"> 6. “Bienestar y Desarrollo Social”.</w:t>
            </w:r>
          </w:p>
          <w:p w14:paraId="238396CA" w14:textId="3DEC1D33"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Objetivo</w:t>
            </w:r>
            <w:r w:rsidR="009E020C" w:rsidRPr="00835574">
              <w:rPr>
                <w:rStyle w:val="Ninguno"/>
                <w:rFonts w:ascii="Calibri" w:hAnsi="Calibri" w:cs="Calibri"/>
                <w:b/>
                <w:bCs/>
                <w:i/>
                <w:iCs/>
                <w:sz w:val="22"/>
                <w:szCs w:val="22"/>
                <w:lang w:val="es-ES_tradnl"/>
              </w:rPr>
              <w:t xml:space="preserve"> </w:t>
            </w:r>
            <w:r w:rsidRPr="00835574">
              <w:rPr>
                <w:rStyle w:val="Ninguno"/>
                <w:rFonts w:ascii="Calibri" w:hAnsi="Calibri" w:cs="Calibri"/>
                <w:b/>
                <w:bCs/>
                <w:i/>
                <w:iCs/>
                <w:sz w:val="22"/>
                <w:szCs w:val="22"/>
                <w:lang w:val="es-ES_tradnl"/>
              </w:rPr>
              <w:t>(s):</w:t>
            </w:r>
            <w:r w:rsidR="009E020C" w:rsidRPr="00835574">
              <w:rPr>
                <w:rStyle w:val="Ninguno"/>
                <w:rFonts w:ascii="Calibri" w:hAnsi="Calibri" w:cs="Calibri"/>
                <w:b/>
                <w:bCs/>
                <w:i/>
                <w:iCs/>
                <w:sz w:val="22"/>
                <w:szCs w:val="22"/>
                <w:lang w:val="es-ES_tradnl"/>
              </w:rPr>
              <w:t xml:space="preserve"> </w:t>
            </w:r>
            <w:r w:rsidRPr="00835574">
              <w:rPr>
                <w:rStyle w:val="Ninguno"/>
                <w:rFonts w:ascii="Calibri" w:hAnsi="Calibri" w:cs="Calibri"/>
                <w:i/>
                <w:iCs/>
                <w:sz w:val="22"/>
                <w:szCs w:val="22"/>
                <w:lang w:val="es-ES_tradnl"/>
              </w:rPr>
              <w:t>6.1 Contribuir a la reducción del rezago educativo en el municipio de manera inclusiva.</w:t>
            </w:r>
          </w:p>
          <w:p w14:paraId="0A3C81E0"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Estrategia (s):</w:t>
            </w:r>
            <w:r w:rsidRPr="00835574">
              <w:rPr>
                <w:rStyle w:val="Ninguno"/>
                <w:rFonts w:ascii="Calibri" w:hAnsi="Calibri" w:cs="Calibri"/>
                <w:i/>
                <w:iCs/>
                <w:sz w:val="22"/>
                <w:szCs w:val="22"/>
                <w:lang w:val="es-ES_tradnl"/>
              </w:rPr>
              <w:t xml:space="preserve">   6.1.1 Gestionar la mejora de la infraestructura de los planteles educativos.</w:t>
            </w:r>
          </w:p>
          <w:p w14:paraId="4E4F3495"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Línea (s) de acción</w:t>
            </w:r>
            <w:r w:rsidRPr="00835574">
              <w:rPr>
                <w:rStyle w:val="Ninguno"/>
                <w:rFonts w:ascii="Calibri" w:hAnsi="Calibri" w:cs="Calibri"/>
                <w:i/>
                <w:iCs/>
                <w:sz w:val="22"/>
                <w:szCs w:val="22"/>
                <w:lang w:val="es-ES_tradnl"/>
              </w:rPr>
              <w:t>: 6.1.1.1 Gestionar ante las instancias correspondientes la dotación de los servicios básicos a los centros educativos municipales.</w:t>
            </w:r>
          </w:p>
        </w:tc>
      </w:tr>
      <w:tr w:rsidR="00835574" w:rsidRPr="00835574" w14:paraId="075F878E"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725D7BB3"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Alineación al Plan Institucional de Desarrollo 2022-2024</w:t>
            </w:r>
          </w:p>
        </w:tc>
      </w:tr>
      <w:tr w:rsidR="009919DB" w:rsidRPr="00835574" w14:paraId="2FC7099E" w14:textId="77777777" w:rsidTr="009F17D2">
        <w:trPr>
          <w:trHeight w:val="434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DFFA12" w14:textId="0DD320EC"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Dimensión:</w:t>
            </w:r>
            <w:r w:rsidRPr="00835574">
              <w:rPr>
                <w:rStyle w:val="Ninguno"/>
                <w:rFonts w:ascii="Calibri" w:hAnsi="Calibri" w:cs="Calibri"/>
                <w:i/>
                <w:iCs/>
                <w:sz w:val="22"/>
                <w:szCs w:val="22"/>
                <w:lang w:val="es-ES_tradnl"/>
              </w:rPr>
              <w:t xml:space="preserve"> 1. Democratización de la Educación de Excelencia.</w:t>
            </w:r>
          </w:p>
          <w:p w14:paraId="09897A2E"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i/>
                <w:iCs/>
                <w:sz w:val="22"/>
                <w:szCs w:val="22"/>
                <w:lang w:val="es-ES_tradnl"/>
              </w:rPr>
              <w:t>La UABJO es una institución promotora de la democratización de la educación a través de la incorporación de estudiantes de las diferentes regiones del Estado y de los distintos grupos sociales, cumpliendo cabalmente las funciones esenciales como son la docencia, la investigación, la extensión del conocimiento, la difusión del arte, la cultura y el deporte, desde una perspectiva decolonial, incluyente, sostenible, intercultural, humanista, científica, de responsabilidad ciudadana y respetuosa de los derechos humanos.</w:t>
            </w:r>
          </w:p>
          <w:p w14:paraId="7A20F114" w14:textId="35B7AA56"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Objetivo</w:t>
            </w:r>
            <w:r w:rsidR="009E020C" w:rsidRPr="00835574">
              <w:rPr>
                <w:rStyle w:val="Ninguno"/>
                <w:rFonts w:ascii="Calibri" w:hAnsi="Calibri" w:cs="Calibri"/>
                <w:b/>
                <w:bCs/>
                <w:i/>
                <w:iCs/>
                <w:sz w:val="22"/>
                <w:szCs w:val="22"/>
                <w:lang w:val="es-ES_tradnl"/>
              </w:rPr>
              <w:t xml:space="preserve"> </w:t>
            </w:r>
            <w:r w:rsidRPr="00835574">
              <w:rPr>
                <w:rStyle w:val="Ninguno"/>
                <w:rFonts w:ascii="Calibri" w:hAnsi="Calibri" w:cs="Calibri"/>
                <w:b/>
                <w:bCs/>
                <w:i/>
                <w:iCs/>
                <w:sz w:val="22"/>
                <w:szCs w:val="22"/>
                <w:lang w:val="es-ES_tradnl"/>
              </w:rPr>
              <w:t>(s):</w:t>
            </w:r>
            <w:r w:rsidR="009E020C" w:rsidRPr="00835574">
              <w:rPr>
                <w:rStyle w:val="Ninguno"/>
                <w:rFonts w:ascii="Calibri" w:hAnsi="Calibri" w:cs="Calibri"/>
                <w:b/>
                <w:bCs/>
                <w:i/>
                <w:iCs/>
                <w:sz w:val="22"/>
                <w:szCs w:val="22"/>
                <w:lang w:val="es-ES_tradnl"/>
              </w:rPr>
              <w:t xml:space="preserve"> </w:t>
            </w:r>
            <w:r w:rsidRPr="00835574">
              <w:rPr>
                <w:rStyle w:val="Ninguno"/>
                <w:rFonts w:ascii="Calibri" w:hAnsi="Calibri" w:cs="Calibri"/>
                <w:i/>
                <w:iCs/>
                <w:sz w:val="22"/>
                <w:szCs w:val="22"/>
                <w:lang w:val="es-ES_tradnl"/>
              </w:rPr>
              <w:t>Ofrecer educación de excelencia académica en programas pertinentes y regionalizados en medio superior, superior y posgrado, así como en las modalidades escolarizada, semiescolarizada y a distancia, dirigida a los diferentes grupos poblacionales del Estado.</w:t>
            </w:r>
          </w:p>
          <w:p w14:paraId="5CCD7936" w14:textId="77777777" w:rsidR="009919DB" w:rsidRPr="00835574" w:rsidRDefault="009919DB" w:rsidP="009F17D2">
            <w:pPr>
              <w:pStyle w:val="Sinespaciado"/>
              <w:jc w:val="both"/>
              <w:rPr>
                <w:rStyle w:val="Ninguno"/>
                <w:rFonts w:ascii="Calibri" w:eastAsia="Arial" w:hAnsi="Calibri" w:cs="Calibri"/>
                <w:i/>
                <w:iCs/>
                <w:sz w:val="22"/>
                <w:szCs w:val="22"/>
                <w:lang w:val="es-ES_tradnl"/>
              </w:rPr>
            </w:pPr>
            <w:r w:rsidRPr="00835574">
              <w:rPr>
                <w:rStyle w:val="Ninguno"/>
                <w:rFonts w:ascii="Calibri" w:hAnsi="Calibri" w:cs="Calibri"/>
                <w:b/>
                <w:bCs/>
                <w:i/>
                <w:iCs/>
                <w:sz w:val="22"/>
                <w:szCs w:val="22"/>
                <w:lang w:val="es-ES_tradnl"/>
              </w:rPr>
              <w:t>Línea (s) de acción</w:t>
            </w:r>
            <w:r w:rsidRPr="00835574">
              <w:rPr>
                <w:rStyle w:val="Ninguno"/>
                <w:rFonts w:ascii="Calibri" w:hAnsi="Calibri" w:cs="Calibri"/>
                <w:i/>
                <w:iCs/>
                <w:sz w:val="22"/>
                <w:szCs w:val="22"/>
                <w:lang w:val="es-ES_tradnl"/>
              </w:rPr>
              <w:t xml:space="preserve">: </w:t>
            </w:r>
          </w:p>
          <w:p w14:paraId="51AFEAA7" w14:textId="77777777" w:rsidR="009919DB" w:rsidRPr="00835574" w:rsidRDefault="009919DB" w:rsidP="009F17D2">
            <w:pPr>
              <w:pStyle w:val="Sinespaciado"/>
              <w:jc w:val="both"/>
              <w:rPr>
                <w:rStyle w:val="Ninguno"/>
                <w:rFonts w:ascii="Calibri" w:eastAsia="Arial" w:hAnsi="Calibri" w:cs="Calibri"/>
                <w:i/>
                <w:iCs/>
                <w:sz w:val="22"/>
                <w:szCs w:val="22"/>
                <w:lang w:val="es-ES_tradnl"/>
              </w:rPr>
            </w:pPr>
            <w:r w:rsidRPr="00835574">
              <w:rPr>
                <w:rStyle w:val="Ninguno"/>
                <w:rFonts w:ascii="Calibri" w:hAnsi="Calibri" w:cs="Calibri"/>
                <w:i/>
                <w:iCs/>
                <w:sz w:val="22"/>
                <w:szCs w:val="22"/>
                <w:lang w:val="es-ES_tradnl"/>
              </w:rPr>
              <w:t>5. Asegurar que los planes de estudio de bachillerato en las preparatorias y el CECAD sean incluyentes, pertinentes y de excelencia educativa y que promuevan la incorporación de los estudiantes a programas de educación superior.</w:t>
            </w:r>
          </w:p>
          <w:p w14:paraId="64C9E0EE" w14:textId="77777777" w:rsidR="009919DB" w:rsidRPr="00835574" w:rsidRDefault="009919DB" w:rsidP="009F17D2">
            <w:pPr>
              <w:pStyle w:val="Sinespaciado"/>
              <w:jc w:val="both"/>
              <w:rPr>
                <w:rFonts w:ascii="Calibri" w:hAnsi="Calibri" w:cs="Calibri"/>
                <w:i/>
                <w:iCs/>
                <w:sz w:val="22"/>
                <w:szCs w:val="22"/>
                <w:lang w:val="en-US"/>
              </w:rPr>
            </w:pPr>
            <w:r w:rsidRPr="00835574">
              <w:rPr>
                <w:rStyle w:val="Ninguno"/>
                <w:rFonts w:ascii="Calibri" w:hAnsi="Calibri" w:cs="Calibri"/>
                <w:i/>
                <w:iCs/>
                <w:sz w:val="22"/>
                <w:szCs w:val="22"/>
                <w:lang w:val="es-ES_tradnl"/>
              </w:rPr>
              <w:t>7. Lograr la regionalización de la UABJO en las ocho regiones del Estado a través de los módulos de atención CECAD.</w:t>
            </w:r>
          </w:p>
        </w:tc>
      </w:tr>
    </w:tbl>
    <w:p w14:paraId="0FEB1C3A" w14:textId="77777777" w:rsidR="00B0171B" w:rsidRPr="00835574" w:rsidRDefault="00B0171B" w:rsidP="00B0171B">
      <w:pPr>
        <w:rPr>
          <w:rStyle w:val="Ninguno"/>
          <w:rFonts w:ascii="Calibri" w:hAnsi="Calibri" w:cs="Calibri"/>
          <w:b/>
          <w:bCs/>
          <w:i/>
          <w:iCs/>
          <w:lang w:val="pt-PT"/>
        </w:rPr>
      </w:pPr>
    </w:p>
    <w:p w14:paraId="0AF7A3E2" w14:textId="6DA5E265" w:rsidR="009919DB" w:rsidRPr="00835574" w:rsidRDefault="009919DB" w:rsidP="00B0171B">
      <w:pPr>
        <w:rPr>
          <w:rStyle w:val="Ninguno"/>
          <w:rFonts w:ascii="Calibri" w:eastAsia="Arial" w:hAnsi="Calibri" w:cs="Calibri"/>
          <w:b/>
          <w:bCs/>
          <w:i/>
          <w:iCs/>
        </w:rPr>
      </w:pPr>
      <w:r w:rsidRPr="00835574">
        <w:rPr>
          <w:rStyle w:val="Ninguno"/>
          <w:rFonts w:ascii="Calibri" w:hAnsi="Calibri" w:cs="Calibri"/>
          <w:b/>
          <w:bCs/>
          <w:i/>
          <w:iCs/>
          <w:lang w:val="pt-PT"/>
        </w:rPr>
        <w:t>GESTI</w:t>
      </w:r>
      <w:r w:rsidRPr="00835574">
        <w:rPr>
          <w:rStyle w:val="Ninguno"/>
          <w:rFonts w:ascii="Calibri" w:hAnsi="Calibri" w:cs="Calibri"/>
          <w:b/>
          <w:bCs/>
          <w:i/>
          <w:iCs/>
          <w:lang w:val="es-ES_tradnl"/>
        </w:rPr>
        <w:t>ÓN PARA LA SOSTENIBILIDAD FINANCIERA DE LA EDUCACIÓ</w:t>
      </w:r>
      <w:r w:rsidRPr="00835574">
        <w:rPr>
          <w:rStyle w:val="Ninguno"/>
          <w:rFonts w:ascii="Calibri" w:hAnsi="Calibri" w:cs="Calibri"/>
          <w:b/>
          <w:bCs/>
          <w:i/>
          <w:iCs/>
        </w:rPr>
        <w:t>N</w:t>
      </w:r>
      <w:r w:rsidRPr="00835574">
        <w:rPr>
          <w:rStyle w:val="Ninguno"/>
          <w:rFonts w:ascii="Calibri" w:hAnsi="Calibri" w:cs="Calibri"/>
          <w:b/>
          <w:bCs/>
          <w:i/>
          <w:iCs/>
          <w:lang w:val="es-ES_tradnl"/>
        </w:rPr>
        <w:t xml:space="preserve">  MEDIA</w:t>
      </w:r>
      <w:r w:rsidRPr="00835574">
        <w:rPr>
          <w:rStyle w:val="Ninguno"/>
          <w:rFonts w:ascii="Calibri" w:hAnsi="Calibri" w:cs="Calibri"/>
          <w:b/>
          <w:bCs/>
          <w:i/>
          <w:iCs/>
          <w:lang w:val="de-DE"/>
        </w:rPr>
        <w:t xml:space="preserve"> SUPERIOR DE LA UNIVERSIDAD AUT</w:t>
      </w:r>
      <w:r w:rsidRPr="00835574">
        <w:rPr>
          <w:rStyle w:val="Ninguno"/>
          <w:rFonts w:ascii="Calibri" w:hAnsi="Calibri" w:cs="Calibri"/>
          <w:b/>
          <w:bCs/>
          <w:i/>
          <w:iCs/>
          <w:lang w:val="es-ES_tradnl"/>
        </w:rPr>
        <w:t>Ó</w:t>
      </w:r>
      <w:r w:rsidRPr="00835574">
        <w:rPr>
          <w:rStyle w:val="Ninguno"/>
          <w:rFonts w:ascii="Calibri" w:hAnsi="Calibri" w:cs="Calibri"/>
          <w:b/>
          <w:bCs/>
          <w:i/>
          <w:iCs/>
          <w:lang w:val="de-DE"/>
        </w:rPr>
        <w:t xml:space="preserve">NOMA </w:t>
      </w:r>
      <w:r w:rsidRPr="00835574">
        <w:rPr>
          <w:rStyle w:val="Ninguno"/>
          <w:rFonts w:ascii="Calibri" w:hAnsi="Calibri" w:cs="Calibri"/>
          <w:b/>
          <w:bCs/>
          <w:i/>
          <w:iCs/>
          <w:lang w:val="es-ES_tradnl"/>
        </w:rPr>
        <w:t>“</w:t>
      </w:r>
      <w:r w:rsidRPr="00835574">
        <w:rPr>
          <w:rStyle w:val="Ninguno"/>
          <w:rFonts w:ascii="Calibri" w:hAnsi="Calibri" w:cs="Calibri"/>
          <w:b/>
          <w:bCs/>
          <w:i/>
          <w:iCs/>
          <w:lang w:val="de-DE"/>
        </w:rPr>
        <w:t>BENITO JU</w:t>
      </w:r>
      <w:r w:rsidRPr="00835574">
        <w:rPr>
          <w:rStyle w:val="Ninguno"/>
          <w:rFonts w:ascii="Calibri" w:hAnsi="Calibri" w:cs="Calibri"/>
          <w:b/>
          <w:bCs/>
          <w:i/>
          <w:iCs/>
          <w:lang w:val="es-ES_tradnl"/>
        </w:rPr>
        <w:t>Á</w:t>
      </w:r>
      <w:r w:rsidRPr="00835574">
        <w:rPr>
          <w:rStyle w:val="Ninguno"/>
          <w:rFonts w:ascii="Calibri" w:hAnsi="Calibri" w:cs="Calibri"/>
          <w:b/>
          <w:bCs/>
          <w:i/>
          <w:iCs/>
          <w:lang w:val="de-DE"/>
        </w:rPr>
        <w:t>REZ</w:t>
      </w:r>
      <w:r w:rsidRPr="00835574">
        <w:rPr>
          <w:rStyle w:val="Ninguno"/>
          <w:rFonts w:ascii="Calibri" w:hAnsi="Calibri" w:cs="Calibri"/>
          <w:b/>
          <w:bCs/>
          <w:i/>
          <w:iCs/>
          <w:lang w:val="es-ES_tradnl"/>
        </w:rPr>
        <w:t xml:space="preserve">” </w:t>
      </w:r>
      <w:r w:rsidRPr="00835574">
        <w:rPr>
          <w:rStyle w:val="Ninguno"/>
          <w:rFonts w:ascii="Calibri" w:hAnsi="Calibri" w:cs="Calibri"/>
          <w:b/>
          <w:bCs/>
          <w:i/>
          <w:iCs/>
        </w:rPr>
        <w:t>DE OAXACA 2023 (UR 403).</w:t>
      </w:r>
    </w:p>
    <w:p w14:paraId="7492B950" w14:textId="77777777" w:rsidR="009919DB" w:rsidRPr="00835574" w:rsidRDefault="009919DB" w:rsidP="009919DB">
      <w:pPr>
        <w:pStyle w:val="Sinespaciado"/>
        <w:jc w:val="both"/>
        <w:rPr>
          <w:rStyle w:val="Ninguno"/>
          <w:rFonts w:ascii="Calibri" w:eastAsia="Arial" w:hAnsi="Calibri" w:cs="Calibri"/>
          <w:b/>
          <w:bCs/>
          <w:i/>
          <w:iCs/>
        </w:rPr>
      </w:pPr>
      <w:r w:rsidRPr="00835574">
        <w:rPr>
          <w:rStyle w:val="Ninguno"/>
          <w:rFonts w:ascii="Calibri" w:hAnsi="Calibri" w:cs="Calibri"/>
          <w:b/>
          <w:bCs/>
          <w:i/>
          <w:iCs/>
        </w:rPr>
        <w:lastRenderedPageBreak/>
        <w:t>OBJETIVO ANUAL.</w:t>
      </w:r>
    </w:p>
    <w:p w14:paraId="3BDC1FFC" w14:textId="77777777" w:rsidR="009919DB" w:rsidRPr="00835574" w:rsidRDefault="009919DB" w:rsidP="009919DB">
      <w:pPr>
        <w:pStyle w:val="Sinespaciado"/>
        <w:jc w:val="both"/>
        <w:rPr>
          <w:rStyle w:val="Ninguno"/>
          <w:rFonts w:ascii="Calibri" w:eastAsia="Arial" w:hAnsi="Calibri" w:cs="Calibri"/>
          <w:b/>
          <w:bCs/>
          <w:i/>
          <w:iCs/>
        </w:rPr>
      </w:pPr>
    </w:p>
    <w:p w14:paraId="06C3CC02" w14:textId="7777777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i/>
          <w:iCs/>
          <w:lang w:val="es-ES_tradnl"/>
        </w:rPr>
        <w:t>Garantizar la sostenibilidad financiera de la UABJO en el mediano plazo, ofreciendo educación de excelencia académica en programas pertinentes y regionalizados en medio superior, superior y posgrado, así como en las modalidades escolarizada, semiescolarizada y a distancia, dirigida a los diferentes grupos poblacionales del Estado con alta responsabilidad, transparencia y eficiencia en el ejercicio de los recursos financieros.</w:t>
      </w:r>
    </w:p>
    <w:p w14:paraId="20762AD1" w14:textId="77777777" w:rsidR="009919DB" w:rsidRPr="00835574" w:rsidRDefault="009919DB" w:rsidP="009919DB">
      <w:pPr>
        <w:pStyle w:val="Sinespaciado"/>
        <w:jc w:val="both"/>
        <w:rPr>
          <w:rStyle w:val="Ninguno"/>
          <w:rFonts w:ascii="Calibri" w:eastAsia="Arial" w:hAnsi="Calibri" w:cs="Calibri"/>
          <w:i/>
          <w:iCs/>
        </w:rPr>
      </w:pPr>
    </w:p>
    <w:p w14:paraId="70554F57" w14:textId="77777777" w:rsidR="009919DB" w:rsidRPr="00835574" w:rsidRDefault="009919DB" w:rsidP="009919DB">
      <w:pPr>
        <w:pStyle w:val="Sinespaciado"/>
        <w:jc w:val="both"/>
        <w:rPr>
          <w:rStyle w:val="Ninguno"/>
          <w:rFonts w:ascii="Calibri" w:eastAsia="Arial" w:hAnsi="Calibri" w:cs="Calibri"/>
          <w:b/>
          <w:bCs/>
          <w:i/>
          <w:iCs/>
        </w:rPr>
      </w:pPr>
      <w:r w:rsidRPr="00835574">
        <w:rPr>
          <w:rStyle w:val="Ninguno"/>
          <w:rFonts w:ascii="Calibri" w:hAnsi="Calibri" w:cs="Calibri"/>
          <w:b/>
          <w:bCs/>
          <w:i/>
          <w:iCs/>
          <w:lang w:val="de-DE"/>
        </w:rPr>
        <w:t>ESTRATEGIAS.</w:t>
      </w:r>
    </w:p>
    <w:p w14:paraId="13D1BE62" w14:textId="77777777" w:rsidR="009919DB" w:rsidRPr="00835574" w:rsidRDefault="009919DB" w:rsidP="009919DB">
      <w:pPr>
        <w:pStyle w:val="Sinespaciado"/>
        <w:jc w:val="both"/>
        <w:rPr>
          <w:rStyle w:val="Ninguno"/>
          <w:rFonts w:ascii="Calibri" w:eastAsia="Arial" w:hAnsi="Calibri" w:cs="Calibri"/>
          <w:b/>
          <w:bCs/>
          <w:i/>
          <w:iCs/>
        </w:rPr>
      </w:pPr>
    </w:p>
    <w:p w14:paraId="70818027" w14:textId="7777777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b/>
          <w:bCs/>
          <w:i/>
          <w:iCs/>
        </w:rPr>
        <w:t xml:space="preserve">E1. </w:t>
      </w:r>
      <w:r w:rsidRPr="00835574">
        <w:rPr>
          <w:rStyle w:val="Ninguno"/>
          <w:rFonts w:ascii="Calibri" w:hAnsi="Calibri" w:cs="Calibri"/>
          <w:i/>
          <w:iCs/>
          <w:lang w:val="es-ES_tradnl"/>
        </w:rPr>
        <w:t>Gestionar el incremento de la aportació</w:t>
      </w:r>
      <w:r w:rsidRPr="00835574">
        <w:rPr>
          <w:rStyle w:val="Ninguno"/>
          <w:rFonts w:ascii="Calibri" w:hAnsi="Calibri" w:cs="Calibri"/>
          <w:i/>
          <w:iCs/>
          <w:lang w:val="it-IT"/>
        </w:rPr>
        <w:t>n estatal al subsidio universitario.</w:t>
      </w:r>
    </w:p>
    <w:p w14:paraId="331E4E1B" w14:textId="7777777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b/>
          <w:bCs/>
          <w:i/>
          <w:iCs/>
        </w:rPr>
        <w:t>E2</w:t>
      </w:r>
      <w:r w:rsidRPr="00835574">
        <w:rPr>
          <w:rStyle w:val="Ninguno"/>
          <w:rFonts w:ascii="Calibri" w:hAnsi="Calibri" w:cs="Calibri"/>
          <w:i/>
          <w:iCs/>
          <w:lang w:val="es-ES_tradnl"/>
        </w:rPr>
        <w:t>. Gestionar el incremento al subsidio universitario de acuerdo al número de estudiantes para materializar la obligatoriedad y la gratuidad de la educació</w:t>
      </w:r>
      <w:r w:rsidRPr="00835574">
        <w:rPr>
          <w:rStyle w:val="Ninguno"/>
          <w:rFonts w:ascii="Calibri" w:hAnsi="Calibri" w:cs="Calibri"/>
          <w:i/>
          <w:iCs/>
          <w:lang w:val="pt-PT"/>
        </w:rPr>
        <w:t>n superior.</w:t>
      </w:r>
      <w:r w:rsidRPr="00835574">
        <w:rPr>
          <w:rStyle w:val="Ninguno"/>
          <w:rFonts w:ascii="Calibri" w:eastAsia="Arial" w:hAnsi="Calibri" w:cs="Calibri"/>
          <w:b/>
          <w:bCs/>
          <w:i/>
          <w:iCs/>
        </w:rPr>
        <w:tab/>
      </w:r>
    </w:p>
    <w:p w14:paraId="2CA7380D" w14:textId="7777777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b/>
          <w:bCs/>
          <w:i/>
          <w:iCs/>
        </w:rPr>
        <w:t>E</w:t>
      </w:r>
      <w:r w:rsidRPr="00835574">
        <w:rPr>
          <w:rStyle w:val="Ninguno"/>
          <w:rFonts w:ascii="Calibri" w:hAnsi="Calibri" w:cs="Calibri"/>
          <w:b/>
          <w:bCs/>
          <w:i/>
          <w:iCs/>
          <w:lang w:val="es-ES_tradnl"/>
        </w:rPr>
        <w:t>3</w:t>
      </w:r>
      <w:r w:rsidRPr="00835574">
        <w:rPr>
          <w:rStyle w:val="Ninguno"/>
          <w:rFonts w:ascii="Calibri" w:hAnsi="Calibri" w:cs="Calibri"/>
          <w:b/>
          <w:bCs/>
          <w:i/>
          <w:iCs/>
        </w:rPr>
        <w:t>.</w:t>
      </w:r>
      <w:r w:rsidRPr="00835574">
        <w:rPr>
          <w:rStyle w:val="Ninguno"/>
          <w:rFonts w:ascii="Calibri" w:eastAsia="Arial" w:hAnsi="Calibri" w:cs="Calibri"/>
          <w:i/>
          <w:iCs/>
          <w:lang w:val="es-ES_tradnl"/>
        </w:rPr>
        <w:t xml:space="preserve"> Obtener el reconocimiento de plantilla de trabajadores y actualizaci</w:t>
      </w:r>
      <w:r w:rsidRPr="00835574">
        <w:rPr>
          <w:rStyle w:val="Ninguno"/>
          <w:rFonts w:ascii="Calibri" w:hAnsi="Calibri" w:cs="Calibri"/>
          <w:i/>
          <w:iCs/>
          <w:lang w:val="es-ES_tradnl"/>
        </w:rPr>
        <w:t>ó</w:t>
      </w:r>
      <w:r w:rsidRPr="00835574">
        <w:rPr>
          <w:rStyle w:val="Ninguno"/>
          <w:rFonts w:ascii="Calibri" w:hAnsi="Calibri" w:cs="Calibri"/>
          <w:i/>
          <w:iCs/>
          <w:lang w:val="pt-PT"/>
        </w:rPr>
        <w:t>n de tabuladores salariales.</w:t>
      </w:r>
    </w:p>
    <w:p w14:paraId="30D4AE68" w14:textId="74D43F5B" w:rsidR="00373877" w:rsidRPr="00835574" w:rsidRDefault="009919DB" w:rsidP="00373877">
      <w:pPr>
        <w:pStyle w:val="Sinespaciado"/>
        <w:jc w:val="both"/>
        <w:rPr>
          <w:rStyle w:val="Ninguno"/>
          <w:rFonts w:ascii="Calibri" w:hAnsi="Calibri" w:cs="Calibri"/>
          <w:i/>
          <w:iCs/>
          <w:lang w:val="pt-PT"/>
        </w:rPr>
      </w:pPr>
      <w:r w:rsidRPr="00835574">
        <w:rPr>
          <w:rStyle w:val="Ninguno"/>
          <w:rFonts w:ascii="Calibri" w:hAnsi="Calibri" w:cs="Calibri"/>
          <w:b/>
          <w:bCs/>
          <w:i/>
          <w:iCs/>
        </w:rPr>
        <w:t>E</w:t>
      </w:r>
      <w:r w:rsidRPr="00835574">
        <w:rPr>
          <w:rStyle w:val="Ninguno"/>
          <w:rFonts w:ascii="Calibri" w:hAnsi="Calibri" w:cs="Calibri"/>
          <w:b/>
          <w:bCs/>
          <w:i/>
          <w:iCs/>
          <w:lang w:val="es-ES_tradnl"/>
        </w:rPr>
        <w:t>4</w:t>
      </w:r>
      <w:r w:rsidRPr="00835574">
        <w:rPr>
          <w:rStyle w:val="Ninguno"/>
          <w:rFonts w:ascii="Calibri" w:hAnsi="Calibri" w:cs="Calibri"/>
          <w:b/>
          <w:bCs/>
          <w:i/>
          <w:iCs/>
        </w:rPr>
        <w:t xml:space="preserve">. </w:t>
      </w:r>
      <w:r w:rsidRPr="00835574">
        <w:rPr>
          <w:rStyle w:val="Ninguno"/>
          <w:rFonts w:ascii="Calibri" w:hAnsi="Calibri" w:cs="Calibri"/>
          <w:i/>
          <w:iCs/>
          <w:lang w:val="es-ES_tradnl"/>
        </w:rPr>
        <w:t>Desarrollar planes para el incremento del Programa Fondo de Aportaciones Múltiples (FAM) para</w:t>
      </w:r>
      <w:r w:rsidR="00F53BEC">
        <w:rPr>
          <w:rStyle w:val="Ninguno"/>
          <w:rFonts w:ascii="Calibri" w:hAnsi="Calibri" w:cs="Calibri"/>
          <w:i/>
          <w:iCs/>
          <w:lang w:val="es-ES_tradnl"/>
        </w:rPr>
        <w:t xml:space="preserve"> </w:t>
      </w:r>
      <w:r w:rsidRPr="00835574">
        <w:rPr>
          <w:rStyle w:val="Ninguno"/>
          <w:rFonts w:ascii="Calibri" w:hAnsi="Calibri" w:cs="Calibri"/>
          <w:i/>
          <w:iCs/>
          <w:lang w:val="es-ES_tradnl"/>
        </w:rPr>
        <w:t>educació</w:t>
      </w:r>
      <w:r w:rsidRPr="00835574">
        <w:rPr>
          <w:rStyle w:val="Ninguno"/>
          <w:rFonts w:ascii="Calibri" w:hAnsi="Calibri" w:cs="Calibri"/>
          <w:i/>
          <w:iCs/>
          <w:lang w:val="pt-PT"/>
        </w:rPr>
        <w:t>n superior.</w:t>
      </w:r>
    </w:p>
    <w:p w14:paraId="56E1DEE9" w14:textId="77777777" w:rsidR="00373877" w:rsidRPr="00835574" w:rsidRDefault="00373877" w:rsidP="00373877">
      <w:pPr>
        <w:pStyle w:val="Sinespaciado"/>
        <w:jc w:val="both"/>
        <w:rPr>
          <w:rStyle w:val="Ninguno"/>
          <w:rFonts w:ascii="Calibri" w:hAnsi="Calibri" w:cs="Calibri"/>
          <w:i/>
          <w:iCs/>
          <w:lang w:val="pt-PT"/>
        </w:rPr>
      </w:pPr>
    </w:p>
    <w:p w14:paraId="2F8E0C1C" w14:textId="6A338E2A" w:rsidR="009919DB" w:rsidRPr="00835574" w:rsidRDefault="009919DB" w:rsidP="00373877">
      <w:pPr>
        <w:pStyle w:val="Sinespaciado"/>
        <w:jc w:val="both"/>
        <w:rPr>
          <w:rStyle w:val="Ninguno"/>
          <w:rFonts w:ascii="Calibri" w:eastAsia="Arial" w:hAnsi="Calibri" w:cs="Calibri"/>
          <w:b/>
          <w:bCs/>
          <w:i/>
          <w:iCs/>
        </w:rPr>
      </w:pPr>
      <w:r w:rsidRPr="00835574">
        <w:rPr>
          <w:rStyle w:val="Ninguno"/>
          <w:rFonts w:ascii="Calibri" w:hAnsi="Calibri" w:cs="Calibri"/>
          <w:b/>
          <w:bCs/>
          <w:i/>
          <w:iCs/>
        </w:rPr>
        <w:t xml:space="preserve">METAS. </w:t>
      </w:r>
    </w:p>
    <w:p w14:paraId="77736982" w14:textId="77777777" w:rsidR="009919DB" w:rsidRPr="00835574" w:rsidRDefault="009919DB" w:rsidP="009919DB">
      <w:pPr>
        <w:pStyle w:val="Sinespaciado"/>
        <w:jc w:val="both"/>
        <w:rPr>
          <w:rStyle w:val="Ninguno"/>
          <w:rFonts w:ascii="Calibri" w:eastAsia="Arial" w:hAnsi="Calibri" w:cs="Calibri"/>
          <w:b/>
          <w:bCs/>
          <w:i/>
          <w:iCs/>
        </w:rPr>
      </w:pPr>
    </w:p>
    <w:p w14:paraId="21A38A2D" w14:textId="7777777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b/>
          <w:bCs/>
          <w:i/>
          <w:iCs/>
        </w:rPr>
        <w:t>M1.</w:t>
      </w:r>
      <w:r w:rsidRPr="00835574">
        <w:rPr>
          <w:rStyle w:val="Ninguno"/>
          <w:rFonts w:ascii="Calibri" w:hAnsi="Calibri" w:cs="Calibri"/>
          <w:i/>
          <w:iCs/>
          <w:lang w:val="es-ES_tradnl"/>
        </w:rPr>
        <w:t xml:space="preserve"> Conservar la matrícula de los 6</w:t>
      </w:r>
      <w:r w:rsidRPr="00835574">
        <w:rPr>
          <w:rStyle w:val="Ninguno"/>
          <w:rFonts w:ascii="Calibri" w:hAnsi="Calibri" w:cs="Calibri"/>
          <w:i/>
          <w:iCs/>
        </w:rPr>
        <w:t>,</w:t>
      </w:r>
      <w:r w:rsidRPr="00835574">
        <w:rPr>
          <w:rStyle w:val="Ninguno"/>
          <w:rFonts w:ascii="Calibri" w:hAnsi="Calibri" w:cs="Calibri"/>
          <w:i/>
          <w:iCs/>
          <w:lang w:val="es-ES_tradnl"/>
        </w:rPr>
        <w:t>489 estudiantes de educació</w:t>
      </w:r>
      <w:r w:rsidRPr="00835574">
        <w:rPr>
          <w:rStyle w:val="Ninguno"/>
          <w:rFonts w:ascii="Calibri" w:hAnsi="Calibri" w:cs="Calibri"/>
          <w:i/>
          <w:iCs/>
        </w:rPr>
        <w:t xml:space="preserve">n </w:t>
      </w:r>
      <w:r w:rsidRPr="00835574">
        <w:rPr>
          <w:rStyle w:val="Ninguno"/>
          <w:rFonts w:ascii="Calibri" w:hAnsi="Calibri" w:cs="Calibri"/>
          <w:i/>
          <w:iCs/>
          <w:lang w:val="es-ES_tradnl"/>
        </w:rPr>
        <w:t>media superior en el ciclo escolar 2023-2024.</w:t>
      </w:r>
    </w:p>
    <w:p w14:paraId="19F8B432" w14:textId="77777777" w:rsidR="009919DB" w:rsidRPr="00835574" w:rsidRDefault="009919DB" w:rsidP="009919DB">
      <w:pPr>
        <w:pStyle w:val="Sinespaciado"/>
        <w:jc w:val="both"/>
        <w:rPr>
          <w:rFonts w:ascii="Calibri" w:eastAsia="Arial Unicode MS" w:hAnsi="Calibri" w:cs="Calibri"/>
          <w:i/>
          <w:iCs/>
        </w:rPr>
      </w:pPr>
      <w:r w:rsidRPr="00835574">
        <w:rPr>
          <w:rStyle w:val="Ninguno"/>
          <w:rFonts w:ascii="Calibri" w:hAnsi="Calibri" w:cs="Calibri"/>
          <w:b/>
          <w:bCs/>
          <w:i/>
          <w:iCs/>
        </w:rPr>
        <w:t xml:space="preserve">M2. </w:t>
      </w:r>
      <w:r w:rsidRPr="00835574">
        <w:rPr>
          <w:rStyle w:val="Ninguno"/>
          <w:rFonts w:ascii="Calibri" w:hAnsi="Calibri" w:cs="Calibri"/>
          <w:i/>
          <w:iCs/>
        </w:rPr>
        <w:t>Con</w:t>
      </w:r>
      <w:r w:rsidRPr="00835574">
        <w:rPr>
          <w:rStyle w:val="Ninguno"/>
          <w:rFonts w:ascii="Calibri" w:hAnsi="Calibri" w:cs="Calibri"/>
          <w:i/>
          <w:iCs/>
          <w:lang w:val="es-ES_tradnl"/>
        </w:rPr>
        <w:t>tribuir en la mayor cobertura del gasto de operación en las 9 escuelas.</w:t>
      </w:r>
    </w:p>
    <w:p w14:paraId="75259F74" w14:textId="77777777" w:rsidR="009919DB" w:rsidRPr="00835574" w:rsidRDefault="009919DB" w:rsidP="009919DB">
      <w:pPr>
        <w:pStyle w:val="Sinespaciado"/>
        <w:jc w:val="both"/>
        <w:rPr>
          <w:rFonts w:ascii="Calibri" w:hAnsi="Calibri" w:cs="Calibri"/>
          <w:i/>
          <w:iCs/>
        </w:rPr>
      </w:pP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8828"/>
      </w:tblGrid>
      <w:tr w:rsidR="00835574" w:rsidRPr="00835574" w14:paraId="330D323D" w14:textId="77777777" w:rsidTr="009F17D2">
        <w:trPr>
          <w:trHeight w:val="565"/>
        </w:trPr>
        <w:tc>
          <w:tcPr>
            <w:tcW w:w="5000" w:type="pc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14:paraId="3F63154F" w14:textId="77777777" w:rsidR="009919DB" w:rsidRPr="00835574" w:rsidRDefault="009919DB" w:rsidP="009F17D2">
            <w:pPr>
              <w:pStyle w:val="Sinespaciado"/>
              <w:jc w:val="both"/>
              <w:rPr>
                <w:rStyle w:val="Ninguno"/>
                <w:rFonts w:ascii="Calibri" w:eastAsia="Arial" w:hAnsi="Calibri" w:cs="Calibri"/>
                <w:b/>
                <w:bCs/>
                <w:i/>
                <w:iCs/>
                <w:sz w:val="22"/>
                <w:szCs w:val="22"/>
              </w:rPr>
            </w:pPr>
            <w:r w:rsidRPr="00835574">
              <w:rPr>
                <w:rStyle w:val="Ninguno"/>
                <w:rFonts w:ascii="Calibri" w:hAnsi="Calibri" w:cs="Calibri"/>
                <w:b/>
                <w:bCs/>
                <w:i/>
                <w:iCs/>
                <w:sz w:val="22"/>
                <w:szCs w:val="22"/>
                <w:lang w:val="es-ES_tradnl"/>
              </w:rPr>
              <w:t>GESTIÓN PARA LA SOSTENIBILIDAD FINANCIERA DE LA EDUCACIÓN</w:t>
            </w:r>
          </w:p>
          <w:p w14:paraId="57354E64"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SUPERIOR DE LA UNIVERSIDAD AUTÓNOMA “BENITO JUÁREZ” DE OAXACA 2023 (UR 403).</w:t>
            </w:r>
          </w:p>
        </w:tc>
      </w:tr>
      <w:tr w:rsidR="00835574" w:rsidRPr="00835574" w14:paraId="54247AC7"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1C4D14D2"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Alineación al Plan Nacional de Desarrollo 2019-2024</w:t>
            </w:r>
          </w:p>
        </w:tc>
      </w:tr>
      <w:tr w:rsidR="00835574" w:rsidRPr="00835574" w14:paraId="6BEF8917" w14:textId="77777777" w:rsidTr="009F17D2">
        <w:trPr>
          <w:trHeight w:val="596"/>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68710DE"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Política (s):</w:t>
            </w:r>
            <w:r w:rsidRPr="00835574">
              <w:rPr>
                <w:rStyle w:val="Ninguno"/>
                <w:rFonts w:ascii="Calibri" w:hAnsi="Calibri" w:cs="Calibri"/>
                <w:i/>
                <w:iCs/>
                <w:sz w:val="22"/>
                <w:szCs w:val="22"/>
                <w:lang w:val="es-ES_tradnl"/>
              </w:rPr>
              <w:t xml:space="preserve"> </w:t>
            </w:r>
            <w:r w:rsidRPr="00835574">
              <w:rPr>
                <w:rStyle w:val="Ninguno"/>
                <w:rFonts w:ascii="Calibri" w:hAnsi="Calibri" w:cs="Calibri"/>
                <w:i/>
                <w:iCs/>
                <w:sz w:val="22"/>
                <w:szCs w:val="22"/>
                <w:shd w:val="clear" w:color="auto" w:fill="FFFFFF"/>
                <w:lang w:val="es-ES_tradnl"/>
              </w:rPr>
              <w:t>2. Política Social </w:t>
            </w:r>
          </w:p>
          <w:p w14:paraId="569ECFB1"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Objetivo (s):</w:t>
            </w:r>
            <w:r w:rsidRPr="00835574">
              <w:rPr>
                <w:rStyle w:val="Ninguno"/>
                <w:rFonts w:ascii="Calibri" w:hAnsi="Calibri" w:cs="Calibri"/>
                <w:i/>
                <w:iCs/>
                <w:sz w:val="22"/>
                <w:szCs w:val="22"/>
                <w:lang w:val="es-ES_tradnl"/>
              </w:rPr>
              <w:t xml:space="preserve"> </w:t>
            </w:r>
            <w:r w:rsidRPr="00835574">
              <w:rPr>
                <w:rStyle w:val="Ninguno"/>
                <w:rFonts w:ascii="Calibri" w:hAnsi="Calibri" w:cs="Calibri"/>
                <w:i/>
                <w:iCs/>
                <w:sz w:val="22"/>
                <w:szCs w:val="22"/>
                <w:shd w:val="clear" w:color="auto" w:fill="FFFFFF"/>
                <w:lang w:val="es-ES_tradnl"/>
              </w:rPr>
              <w:t>2. Garantizar el derecho de la población en México a una educación de excelencia, pertinente y relevante en los diferentes tipos, niveles y modalidades del Sistema Educativo Nacional.</w:t>
            </w:r>
          </w:p>
          <w:p w14:paraId="2592983D" w14:textId="77777777" w:rsidR="009919DB" w:rsidRPr="00835574" w:rsidRDefault="009919DB" w:rsidP="009F17D2">
            <w:pPr>
              <w:pStyle w:val="Sinespaciado"/>
              <w:jc w:val="both"/>
              <w:rPr>
                <w:rStyle w:val="Ninguno"/>
                <w:rFonts w:ascii="Calibri" w:eastAsia="Arial" w:hAnsi="Calibri" w:cs="Calibri"/>
                <w:i/>
                <w:iCs/>
                <w:sz w:val="22"/>
                <w:szCs w:val="22"/>
                <w:shd w:val="clear" w:color="auto" w:fill="FFFFFF"/>
              </w:rPr>
            </w:pPr>
            <w:r w:rsidRPr="00835574">
              <w:rPr>
                <w:rStyle w:val="Ninguno"/>
                <w:rFonts w:ascii="Calibri" w:hAnsi="Calibri" w:cs="Calibri"/>
                <w:b/>
                <w:bCs/>
                <w:i/>
                <w:iCs/>
                <w:sz w:val="22"/>
                <w:szCs w:val="22"/>
                <w:lang w:val="es-ES_tradnl"/>
              </w:rPr>
              <w:t>Estrategia (s):</w:t>
            </w:r>
            <w:r w:rsidRPr="00835574">
              <w:rPr>
                <w:rStyle w:val="Ninguno"/>
                <w:rFonts w:ascii="Calibri" w:hAnsi="Calibri" w:cs="Calibri"/>
                <w:b/>
                <w:bCs/>
                <w:i/>
                <w:iCs/>
                <w:sz w:val="22"/>
                <w:szCs w:val="22"/>
                <w:shd w:val="clear" w:color="auto" w:fill="FFFFFF"/>
                <w:lang w:val="es-ES_tradnl"/>
              </w:rPr>
              <w:t xml:space="preserve"> </w:t>
            </w:r>
            <w:r w:rsidRPr="00835574">
              <w:rPr>
                <w:rStyle w:val="Ninguno"/>
                <w:rFonts w:ascii="Calibri" w:hAnsi="Calibri" w:cs="Calibri"/>
                <w:i/>
                <w:iCs/>
                <w:sz w:val="22"/>
                <w:szCs w:val="22"/>
                <w:shd w:val="clear" w:color="auto" w:fill="FFFFFF"/>
                <w:lang w:val="es-ES_tradnl"/>
              </w:rPr>
              <w:t>2.1. Garantizar que los planes y programas de estudio sean pertinentes a los desafíos del siglo XXI y permitan a las niñas, niños, adolescentes y jóvenes adquirir las habilidades y conocimientos para su desarrollo integral.</w:t>
            </w:r>
          </w:p>
          <w:p w14:paraId="03E714F6" w14:textId="77777777" w:rsidR="009919DB" w:rsidRPr="00835574" w:rsidRDefault="009919DB" w:rsidP="009F17D2">
            <w:pPr>
              <w:pStyle w:val="Sinespaciado"/>
              <w:jc w:val="both"/>
              <w:rPr>
                <w:rStyle w:val="Ninguno"/>
                <w:rFonts w:ascii="Calibri" w:eastAsia="Arial" w:hAnsi="Calibri" w:cs="Calibri"/>
                <w:i/>
                <w:iCs/>
                <w:sz w:val="22"/>
                <w:szCs w:val="22"/>
                <w:shd w:val="clear" w:color="auto" w:fill="FFFFFF"/>
              </w:rPr>
            </w:pPr>
            <w:r w:rsidRPr="00835574">
              <w:rPr>
                <w:rStyle w:val="Ninguno"/>
                <w:rFonts w:ascii="Calibri" w:hAnsi="Calibri" w:cs="Calibri"/>
                <w:b/>
                <w:bCs/>
                <w:i/>
                <w:iCs/>
                <w:sz w:val="22"/>
                <w:szCs w:val="22"/>
                <w:lang w:val="es-ES_tradnl"/>
              </w:rPr>
              <w:t>Línea (s) de acción:</w:t>
            </w:r>
            <w:r w:rsidRPr="00835574">
              <w:rPr>
                <w:rStyle w:val="Ninguno"/>
                <w:rFonts w:ascii="Calibri" w:hAnsi="Calibri" w:cs="Calibri"/>
                <w:i/>
                <w:iCs/>
                <w:sz w:val="22"/>
                <w:szCs w:val="22"/>
                <w:lang w:val="es-ES_tradnl"/>
              </w:rPr>
              <w:t xml:space="preserve"> </w:t>
            </w:r>
            <w:r w:rsidRPr="00835574">
              <w:rPr>
                <w:rStyle w:val="Ninguno"/>
                <w:rFonts w:ascii="Calibri" w:hAnsi="Calibri" w:cs="Calibri"/>
                <w:i/>
                <w:iCs/>
                <w:sz w:val="22"/>
                <w:szCs w:val="22"/>
                <w:shd w:val="clear" w:color="auto" w:fill="FFFFFF"/>
                <w:lang w:val="es-ES_tradnl"/>
              </w:rPr>
              <w:t>2.1.3. Incentivar que los planes de desarrollo de las instituciones de educación superior de todos los subsistemas refuercen el compromiso social con sus comunidades, en los ámbitos local, regional y nacional.</w:t>
            </w:r>
          </w:p>
          <w:p w14:paraId="531BC8B4"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i/>
                <w:iCs/>
                <w:sz w:val="22"/>
                <w:szCs w:val="22"/>
                <w:shd w:val="clear" w:color="auto" w:fill="FFFFFF"/>
                <w:lang w:val="es-ES_tradnl"/>
              </w:rPr>
              <w:t xml:space="preserve">2.1.7. Promover, con pleno respeto a la autonomía universitaria, procesos de revisión y actualización para la transformación curricular en la educación superior, centrada en la formación </w:t>
            </w:r>
            <w:r w:rsidRPr="00835574">
              <w:rPr>
                <w:rStyle w:val="Ninguno"/>
                <w:rFonts w:ascii="Calibri" w:hAnsi="Calibri" w:cs="Calibri"/>
                <w:i/>
                <w:iCs/>
                <w:sz w:val="22"/>
                <w:szCs w:val="22"/>
                <w:shd w:val="clear" w:color="auto" w:fill="FFFFFF"/>
                <w:lang w:val="es-ES_tradnl"/>
              </w:rPr>
              <w:lastRenderedPageBreak/>
              <w:t>integral de las y los estudiantes, con la participación de los actores involucrados en los subsistemas e instituciones.</w:t>
            </w:r>
          </w:p>
        </w:tc>
      </w:tr>
      <w:tr w:rsidR="00835574" w:rsidRPr="00835574" w14:paraId="2BBE630C"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5F6B202E"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lastRenderedPageBreak/>
              <w:t>Alineación al Plan Sectorial de Educación 2016-2022</w:t>
            </w:r>
            <w:r w:rsidRPr="00835574">
              <w:rPr>
                <w:rStyle w:val="Ninguno"/>
                <w:rFonts w:ascii="Calibri" w:hAnsi="Calibri" w:cs="Calibri"/>
                <w:b/>
                <w:bCs/>
                <w:i/>
                <w:iCs/>
                <w:sz w:val="22"/>
                <w:szCs w:val="22"/>
                <w:lang w:val="es-ES_tradnl"/>
              </w:rPr>
              <w:tab/>
            </w:r>
          </w:p>
        </w:tc>
      </w:tr>
      <w:tr w:rsidR="00835574" w:rsidRPr="00835574" w14:paraId="725ADD48" w14:textId="77777777" w:rsidTr="009F17D2">
        <w:trPr>
          <w:trHeight w:val="240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1EA9123" w14:textId="77777777" w:rsidR="009919DB" w:rsidRPr="00835574" w:rsidRDefault="009919DB" w:rsidP="009F17D2">
            <w:pPr>
              <w:pStyle w:val="Sinespaciado"/>
              <w:jc w:val="both"/>
              <w:rPr>
                <w:rStyle w:val="Ninguno"/>
                <w:rFonts w:ascii="Calibri" w:hAnsi="Calibri" w:cs="Calibri"/>
                <w:i/>
                <w:iCs/>
                <w:sz w:val="22"/>
                <w:szCs w:val="22"/>
              </w:rPr>
            </w:pPr>
            <w:r w:rsidRPr="00835574">
              <w:rPr>
                <w:rStyle w:val="Ninguno"/>
                <w:rFonts w:ascii="Calibri" w:hAnsi="Calibri" w:cs="Calibri"/>
                <w:b/>
                <w:bCs/>
                <w:i/>
                <w:iCs/>
                <w:sz w:val="22"/>
                <w:szCs w:val="22"/>
                <w:lang w:val="es-ES_tradnl"/>
              </w:rPr>
              <w:t>Objetivo (s):</w:t>
            </w:r>
            <w:r w:rsidRPr="00835574">
              <w:rPr>
                <w:rStyle w:val="Ninguno"/>
                <w:rFonts w:ascii="Calibri" w:hAnsi="Calibri" w:cs="Calibri"/>
                <w:i/>
                <w:iCs/>
                <w:sz w:val="22"/>
                <w:szCs w:val="22"/>
                <w:lang w:val="es-ES_tradnl"/>
              </w:rPr>
              <w:t xml:space="preserve"> 1.  Ampliar la matrícula de Educación Superior promoviendo la formación de capital humano de alto nivel con una Educación Superior de calidad y pertinencia para el Estado. </w:t>
            </w:r>
          </w:p>
          <w:p w14:paraId="5ECEB405"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Estrategia (s):</w:t>
            </w:r>
            <w:r w:rsidRPr="00835574">
              <w:rPr>
                <w:rStyle w:val="Ninguno"/>
                <w:rFonts w:ascii="Calibri" w:hAnsi="Calibri" w:cs="Calibri"/>
                <w:i/>
                <w:iCs/>
                <w:sz w:val="22"/>
                <w:szCs w:val="22"/>
                <w:lang w:val="es-ES_tradnl"/>
              </w:rPr>
              <w:t xml:space="preserve"> 1. Fortalecer la actualización y profesionalización docente y directiva.</w:t>
            </w:r>
          </w:p>
          <w:p w14:paraId="3ADD0885"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i/>
                <w:iCs/>
                <w:sz w:val="22"/>
                <w:szCs w:val="22"/>
                <w:lang w:val="es-ES_tradnl"/>
              </w:rPr>
              <w:t>1.2. Facilitar la inserción laboral de la juventud mediante esquemas flexibles para la acreditación y certificación de competencias.</w:t>
            </w:r>
          </w:p>
          <w:p w14:paraId="4C9CB4F3"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Línea (s) de acción</w:t>
            </w:r>
            <w:r w:rsidRPr="00835574">
              <w:rPr>
                <w:rStyle w:val="Ninguno"/>
                <w:rFonts w:ascii="Calibri" w:hAnsi="Calibri" w:cs="Calibri"/>
                <w:i/>
                <w:iCs/>
                <w:sz w:val="22"/>
                <w:szCs w:val="22"/>
                <w:lang w:val="es-ES_tradnl"/>
              </w:rPr>
              <w:t>: 1.1. Ampliar los programas de tutorías y asesorías académicas para apoyar al estudiantado con bajo rendimiento académico.</w:t>
            </w:r>
          </w:p>
          <w:p w14:paraId="32D6B7ED"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i/>
                <w:iCs/>
                <w:sz w:val="22"/>
                <w:szCs w:val="22"/>
                <w:lang w:val="es-ES_tradnl"/>
              </w:rPr>
              <w:t>1.2. Propiciar la firma de convenios con organismos e instituciones nacionales e internacionales con el objetivo de impulsar la movilidad docente y estudiantil.</w:t>
            </w:r>
          </w:p>
        </w:tc>
      </w:tr>
      <w:tr w:rsidR="00835574" w:rsidRPr="00835574" w14:paraId="38560EF8"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22E7F95C"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Alineación al Plan Estatal de Desarrollo 2016-2022</w:t>
            </w:r>
          </w:p>
        </w:tc>
      </w:tr>
      <w:tr w:rsidR="00835574" w:rsidRPr="00835574" w14:paraId="00B3C3CA" w14:textId="77777777" w:rsidTr="009F17D2">
        <w:trPr>
          <w:trHeight w:val="81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89240C"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Política (s):</w:t>
            </w:r>
            <w:r w:rsidRPr="00835574">
              <w:rPr>
                <w:rStyle w:val="Ninguno"/>
                <w:rFonts w:ascii="Calibri" w:hAnsi="Calibri" w:cs="Calibri"/>
                <w:i/>
                <w:iCs/>
                <w:sz w:val="22"/>
                <w:szCs w:val="22"/>
                <w:lang w:val="es-ES_tradnl"/>
              </w:rPr>
              <w:t xml:space="preserve"> 1. Oaxaca incluyente con Desarrollo Social (Educación) </w:t>
            </w:r>
          </w:p>
          <w:p w14:paraId="2038C60A"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Objetivo (s):</w:t>
            </w:r>
            <w:r w:rsidRPr="00835574">
              <w:rPr>
                <w:rStyle w:val="Ninguno"/>
                <w:rFonts w:ascii="Calibri" w:hAnsi="Calibri" w:cs="Calibri"/>
                <w:i/>
                <w:iCs/>
                <w:sz w:val="22"/>
                <w:szCs w:val="22"/>
                <w:lang w:val="es-ES_tradnl"/>
              </w:rPr>
              <w:t xml:space="preserve"> 3. Ampliar y diversificar la oferta de Educación Superior en Oaxaca para atender la demanda de manera accesible y con equidad.</w:t>
            </w:r>
          </w:p>
          <w:p w14:paraId="3D1233C4"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Estrategia (s</w:t>
            </w:r>
            <w:r w:rsidRPr="00835574">
              <w:rPr>
                <w:rStyle w:val="Ninguno"/>
                <w:rFonts w:ascii="Calibri" w:hAnsi="Calibri" w:cs="Calibri"/>
                <w:i/>
                <w:iCs/>
                <w:sz w:val="22"/>
                <w:szCs w:val="22"/>
                <w:lang w:val="es-ES_tradnl"/>
              </w:rPr>
              <w:t>): 3.1. Promover la ampliación de la oferta de Educación Superior con modelos innovadores y el apoyo de las TIC’S.</w:t>
            </w:r>
          </w:p>
          <w:p w14:paraId="7E58C0A3"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i/>
                <w:iCs/>
                <w:sz w:val="22"/>
                <w:szCs w:val="22"/>
                <w:lang w:val="es-ES_tradnl"/>
              </w:rPr>
              <w:t>3.2. Coadyuvar en el incremento de la cobertura social de Educación Superior en el estado y elevar la absorción a la Educación Superior durante este sexenio.</w:t>
            </w:r>
          </w:p>
          <w:p w14:paraId="2DE336A3"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i/>
                <w:iCs/>
                <w:sz w:val="22"/>
                <w:szCs w:val="22"/>
                <w:lang w:val="es-ES_tradnl"/>
              </w:rPr>
              <w:t>3.7. Gestionar recursos de la Federación y del Gobierno del Estado para proyectos de inversión, entre ellos los de Fondos Concursables, con la finalidad de ampliar la infraestructura educativa en programas de alta pertinencia</w:t>
            </w:r>
            <w:r w:rsidRPr="00835574">
              <w:rPr>
                <w:rStyle w:val="Ninguno"/>
                <w:rFonts w:ascii="Calibri" w:hAnsi="Calibri" w:cs="Calibri"/>
                <w:b/>
                <w:bCs/>
                <w:i/>
                <w:iCs/>
                <w:sz w:val="22"/>
                <w:szCs w:val="22"/>
                <w:lang w:val="es-ES_tradnl"/>
              </w:rPr>
              <w:t>.</w:t>
            </w:r>
          </w:p>
        </w:tc>
      </w:tr>
      <w:tr w:rsidR="00835574" w:rsidRPr="00835574" w14:paraId="1C81136A"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0B6AD52F"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Alineación al Plan Municipal de Desarrollo 2022-2024</w:t>
            </w:r>
          </w:p>
        </w:tc>
      </w:tr>
      <w:tr w:rsidR="00835574" w:rsidRPr="00835574" w14:paraId="7BA282F2" w14:textId="77777777" w:rsidTr="009F17D2">
        <w:trPr>
          <w:trHeight w:val="144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ED29659"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Eje (s):</w:t>
            </w:r>
            <w:r w:rsidRPr="00835574">
              <w:rPr>
                <w:rStyle w:val="Ninguno"/>
                <w:rFonts w:ascii="Calibri" w:hAnsi="Calibri" w:cs="Calibri"/>
                <w:i/>
                <w:iCs/>
                <w:sz w:val="22"/>
                <w:szCs w:val="22"/>
                <w:lang w:val="es-ES_tradnl"/>
              </w:rPr>
              <w:t xml:space="preserve"> 6. “Bienestar y Desarrollo Social”.</w:t>
            </w:r>
          </w:p>
          <w:p w14:paraId="0FDEA572"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Objetivo(s):</w:t>
            </w:r>
            <w:r w:rsidRPr="00835574">
              <w:rPr>
                <w:rStyle w:val="Ninguno"/>
                <w:rFonts w:ascii="Calibri" w:hAnsi="Calibri" w:cs="Calibri"/>
                <w:i/>
                <w:iCs/>
                <w:sz w:val="22"/>
                <w:szCs w:val="22"/>
                <w:lang w:val="es-ES_tradnl"/>
              </w:rPr>
              <w:t xml:space="preserve"> 6.1 Contribuir a la reducción del rezago educativo en el municipio de manera inclusiva.</w:t>
            </w:r>
          </w:p>
          <w:p w14:paraId="6B7DBEB8"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Estrategia (s):</w:t>
            </w:r>
            <w:r w:rsidRPr="00835574">
              <w:rPr>
                <w:rStyle w:val="Ninguno"/>
                <w:rFonts w:ascii="Calibri" w:hAnsi="Calibri" w:cs="Calibri"/>
                <w:i/>
                <w:iCs/>
                <w:sz w:val="22"/>
                <w:szCs w:val="22"/>
                <w:lang w:val="es-ES_tradnl"/>
              </w:rPr>
              <w:t xml:space="preserve">   6.1.1 Gestionar la mejora de la infraestructura de los planteles educativos.</w:t>
            </w:r>
          </w:p>
          <w:p w14:paraId="520A9928"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Línea (s) de acción</w:t>
            </w:r>
            <w:r w:rsidRPr="00835574">
              <w:rPr>
                <w:rStyle w:val="Ninguno"/>
                <w:rFonts w:ascii="Calibri" w:hAnsi="Calibri" w:cs="Calibri"/>
                <w:i/>
                <w:iCs/>
                <w:sz w:val="22"/>
                <w:szCs w:val="22"/>
                <w:lang w:val="es-ES_tradnl"/>
              </w:rPr>
              <w:t>: 6.1.1.1 Gestionar ante las instancias correspondientes la dotación de los servicios básicos a los centros educativos municipales.</w:t>
            </w:r>
          </w:p>
        </w:tc>
      </w:tr>
      <w:tr w:rsidR="00835574" w:rsidRPr="00835574" w14:paraId="5733B020" w14:textId="77777777" w:rsidTr="009F17D2">
        <w:trPr>
          <w:trHeight w:val="243"/>
        </w:trPr>
        <w:tc>
          <w:tcPr>
            <w:tcW w:w="5000" w:type="pct"/>
            <w:tcBorders>
              <w:top w:val="single" w:sz="4" w:space="0" w:color="000000"/>
              <w:left w:val="single" w:sz="4" w:space="0" w:color="000000"/>
              <w:bottom w:val="single" w:sz="4" w:space="0" w:color="000000"/>
              <w:right w:val="single" w:sz="4" w:space="0" w:color="000000"/>
            </w:tcBorders>
            <w:shd w:val="clear" w:color="auto" w:fill="365F91"/>
            <w:tcMar>
              <w:top w:w="80" w:type="dxa"/>
              <w:left w:w="80" w:type="dxa"/>
              <w:bottom w:w="80" w:type="dxa"/>
              <w:right w:w="80" w:type="dxa"/>
            </w:tcMar>
            <w:hideMark/>
          </w:tcPr>
          <w:p w14:paraId="248681F1"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b/>
                <w:bCs/>
                <w:i/>
                <w:iCs/>
                <w:sz w:val="22"/>
                <w:szCs w:val="22"/>
                <w:lang w:val="es-ES_tradnl"/>
              </w:rPr>
              <w:t>Alineación al Plan Institucional de Desarrollo 2022-2024</w:t>
            </w:r>
          </w:p>
        </w:tc>
      </w:tr>
      <w:tr w:rsidR="009919DB" w:rsidRPr="00835574" w14:paraId="5605AE79" w14:textId="77777777" w:rsidTr="009F17D2">
        <w:trPr>
          <w:trHeight w:val="4824"/>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F89097"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lastRenderedPageBreak/>
              <w:t>Dimensión:</w:t>
            </w:r>
            <w:r w:rsidRPr="00835574">
              <w:rPr>
                <w:rStyle w:val="Ninguno"/>
                <w:rFonts w:ascii="Calibri" w:hAnsi="Calibri" w:cs="Calibri"/>
                <w:i/>
                <w:iCs/>
                <w:sz w:val="22"/>
                <w:szCs w:val="22"/>
                <w:lang w:val="es-ES_tradnl"/>
              </w:rPr>
              <w:t xml:space="preserve"> 1.  Democratización de la Educación de Excelencia.</w:t>
            </w:r>
          </w:p>
          <w:p w14:paraId="7ECFF04E"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i/>
                <w:iCs/>
                <w:sz w:val="22"/>
                <w:szCs w:val="22"/>
                <w:lang w:val="es-ES_tradnl"/>
              </w:rPr>
              <w:t>La UABJO es una institución promotora de la democratización de la educación a través de la incorporación de estudiantes de las diferentes regiones del Estado y de los distintos grupos sociales, cumpliendo cabalmente las funciones esenciales como son la docencia, la investigación, la extensión del conocimiento, la difusión del arte, la cultura y el deporte, desde una perspectiva decolonial, incluyente, sostenible, intercultural, humanista, científica, de responsabilidad ciudadana y respetuosa de los derechos humanos.</w:t>
            </w:r>
          </w:p>
          <w:p w14:paraId="0A42DF7E"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 xml:space="preserve">Objetivo(s): </w:t>
            </w:r>
            <w:r w:rsidRPr="00835574">
              <w:rPr>
                <w:rStyle w:val="Ninguno"/>
                <w:rFonts w:ascii="Calibri" w:hAnsi="Calibri" w:cs="Calibri"/>
                <w:i/>
                <w:iCs/>
                <w:sz w:val="22"/>
                <w:szCs w:val="22"/>
                <w:lang w:val="es-ES_tradnl"/>
              </w:rPr>
              <w:t>Ofrecer educación de excelencia académica en programas pertinentes y regionalizados en medio superior, superior y posgrado, así como en las modalidades escolarizada, semiescolarizada y a distancia, dirigida a los diferentes grupos poblacionales del Estado.</w:t>
            </w:r>
          </w:p>
          <w:p w14:paraId="4284A1B1"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b/>
                <w:bCs/>
                <w:i/>
                <w:iCs/>
                <w:sz w:val="22"/>
                <w:szCs w:val="22"/>
                <w:lang w:val="es-ES_tradnl"/>
              </w:rPr>
              <w:t>Línea (s) de acción</w:t>
            </w:r>
            <w:r w:rsidRPr="00835574">
              <w:rPr>
                <w:rStyle w:val="Ninguno"/>
                <w:rFonts w:ascii="Calibri" w:hAnsi="Calibri" w:cs="Calibri"/>
                <w:i/>
                <w:iCs/>
                <w:sz w:val="22"/>
                <w:szCs w:val="22"/>
                <w:lang w:val="es-ES_tradnl"/>
              </w:rPr>
              <w:t xml:space="preserve">: 1. Fomentar la oferta de una gama más diversa de programas en diferentes áreas del conocimiento, niveles y modalidades con la finalidad de contribuir en el incremento de la cobertura del Estado y a su vez atender las demandas acordes a las preferencias de los aspirantes. </w:t>
            </w:r>
          </w:p>
          <w:p w14:paraId="753BD0A0" w14:textId="77777777" w:rsidR="009919DB" w:rsidRPr="00835574" w:rsidRDefault="009919DB" w:rsidP="009F17D2">
            <w:pPr>
              <w:pStyle w:val="Sinespaciado"/>
              <w:jc w:val="both"/>
              <w:rPr>
                <w:rStyle w:val="Ninguno"/>
                <w:rFonts w:ascii="Calibri" w:eastAsia="Arial" w:hAnsi="Calibri" w:cs="Calibri"/>
                <w:i/>
                <w:iCs/>
                <w:sz w:val="22"/>
                <w:szCs w:val="22"/>
              </w:rPr>
            </w:pPr>
            <w:r w:rsidRPr="00835574">
              <w:rPr>
                <w:rStyle w:val="Ninguno"/>
                <w:rFonts w:ascii="Calibri" w:hAnsi="Calibri" w:cs="Calibri"/>
                <w:i/>
                <w:iCs/>
                <w:sz w:val="22"/>
                <w:szCs w:val="22"/>
                <w:lang w:val="es-ES_tradnl"/>
              </w:rPr>
              <w:t>2. Implementar el Programa “TÚ DECIDES” para potencializar los espacios en los programas de menor demanda y todos y todas tengan derecho y acceso a la educación superior.</w:t>
            </w:r>
          </w:p>
          <w:p w14:paraId="12BF755A" w14:textId="77777777" w:rsidR="009919DB" w:rsidRPr="00835574" w:rsidRDefault="009919DB" w:rsidP="009F17D2">
            <w:pPr>
              <w:pStyle w:val="Sinespaciado"/>
              <w:jc w:val="both"/>
              <w:rPr>
                <w:rFonts w:ascii="Calibri" w:hAnsi="Calibri" w:cs="Calibri"/>
                <w:i/>
                <w:iCs/>
                <w:sz w:val="22"/>
                <w:szCs w:val="22"/>
              </w:rPr>
            </w:pPr>
            <w:r w:rsidRPr="00835574">
              <w:rPr>
                <w:rStyle w:val="Ninguno"/>
                <w:rFonts w:ascii="Calibri" w:hAnsi="Calibri" w:cs="Calibri"/>
                <w:i/>
                <w:iCs/>
                <w:sz w:val="22"/>
                <w:szCs w:val="22"/>
                <w:lang w:val="es-ES_tradnl"/>
              </w:rPr>
              <w:t>4. Rediseñar el currículum y trabajar en la flexibilización de los planes de estudios de licenciatura y posgrado, bajo los principios de pertinencia, de colonialidad, inclusión, valoración de la diversidad y respeto de los derechos humanos.</w:t>
            </w:r>
          </w:p>
        </w:tc>
      </w:tr>
    </w:tbl>
    <w:p w14:paraId="33033B50" w14:textId="77777777" w:rsidR="009919DB" w:rsidRPr="00835574" w:rsidRDefault="009919DB" w:rsidP="009919DB">
      <w:pPr>
        <w:pStyle w:val="Sinespaciado"/>
        <w:jc w:val="both"/>
        <w:rPr>
          <w:rStyle w:val="Ninguno"/>
          <w:rFonts w:ascii="Calibri" w:eastAsia="Arial" w:hAnsi="Calibri" w:cs="Calibri"/>
          <w:b/>
          <w:bCs/>
          <w:i/>
          <w:iCs/>
          <w:lang w:val="en-US"/>
        </w:rPr>
      </w:pPr>
    </w:p>
    <w:p w14:paraId="055EABFB" w14:textId="08D73F7E" w:rsidR="00B0171B" w:rsidRPr="00835574" w:rsidRDefault="009919DB" w:rsidP="00373877">
      <w:pPr>
        <w:pStyle w:val="Sinespaciado"/>
        <w:jc w:val="both"/>
        <w:rPr>
          <w:rStyle w:val="Ninguno"/>
          <w:rFonts w:ascii="Calibri" w:hAnsi="Calibri" w:cs="Calibri"/>
          <w:b/>
          <w:bCs/>
          <w:i/>
          <w:iCs/>
        </w:rPr>
      </w:pPr>
      <w:r w:rsidRPr="00835574">
        <w:rPr>
          <w:rStyle w:val="Ninguno"/>
          <w:rFonts w:ascii="Calibri" w:hAnsi="Calibri" w:cs="Calibri"/>
          <w:b/>
          <w:bCs/>
          <w:i/>
          <w:iCs/>
          <w:lang w:val="pt-PT"/>
        </w:rPr>
        <w:t>GESTI</w:t>
      </w:r>
      <w:r w:rsidRPr="00835574">
        <w:rPr>
          <w:rStyle w:val="Ninguno"/>
          <w:rFonts w:ascii="Calibri" w:hAnsi="Calibri" w:cs="Calibri"/>
          <w:b/>
          <w:bCs/>
          <w:i/>
          <w:iCs/>
          <w:lang w:val="es-ES_tradnl"/>
        </w:rPr>
        <w:t>ÓN PARA LA SOSTENIBILIDAD FINANCIERA DE LA EDUCACIÓ</w:t>
      </w:r>
      <w:r w:rsidRPr="00835574">
        <w:rPr>
          <w:rStyle w:val="Ninguno"/>
          <w:rFonts w:ascii="Calibri" w:hAnsi="Calibri" w:cs="Calibri"/>
          <w:b/>
          <w:bCs/>
          <w:i/>
          <w:iCs/>
          <w:lang w:val="de-DE"/>
        </w:rPr>
        <w:t>N SUPERIOR DE LA UNIVERSIDAD AUT</w:t>
      </w:r>
      <w:r w:rsidRPr="00835574">
        <w:rPr>
          <w:rStyle w:val="Ninguno"/>
          <w:rFonts w:ascii="Calibri" w:hAnsi="Calibri" w:cs="Calibri"/>
          <w:b/>
          <w:bCs/>
          <w:i/>
          <w:iCs/>
          <w:lang w:val="es-ES_tradnl"/>
        </w:rPr>
        <w:t>Ó</w:t>
      </w:r>
      <w:r w:rsidRPr="00835574">
        <w:rPr>
          <w:rStyle w:val="Ninguno"/>
          <w:rFonts w:ascii="Calibri" w:hAnsi="Calibri" w:cs="Calibri"/>
          <w:b/>
          <w:bCs/>
          <w:i/>
          <w:iCs/>
          <w:lang w:val="de-DE"/>
        </w:rPr>
        <w:t xml:space="preserve">NOMA </w:t>
      </w:r>
      <w:r w:rsidRPr="00835574">
        <w:rPr>
          <w:rStyle w:val="Ninguno"/>
          <w:rFonts w:ascii="Calibri" w:hAnsi="Calibri" w:cs="Calibri"/>
          <w:b/>
          <w:bCs/>
          <w:i/>
          <w:iCs/>
          <w:lang w:val="es-ES_tradnl"/>
        </w:rPr>
        <w:t>“</w:t>
      </w:r>
      <w:r w:rsidRPr="00835574">
        <w:rPr>
          <w:rStyle w:val="Ninguno"/>
          <w:rFonts w:ascii="Calibri" w:hAnsi="Calibri" w:cs="Calibri"/>
          <w:b/>
          <w:bCs/>
          <w:i/>
          <w:iCs/>
          <w:lang w:val="de-DE"/>
        </w:rPr>
        <w:t>BENITO JU</w:t>
      </w:r>
      <w:r w:rsidRPr="00835574">
        <w:rPr>
          <w:rStyle w:val="Ninguno"/>
          <w:rFonts w:ascii="Calibri" w:hAnsi="Calibri" w:cs="Calibri"/>
          <w:b/>
          <w:bCs/>
          <w:i/>
          <w:iCs/>
          <w:lang w:val="es-ES_tradnl"/>
        </w:rPr>
        <w:t>Á</w:t>
      </w:r>
      <w:r w:rsidRPr="00835574">
        <w:rPr>
          <w:rStyle w:val="Ninguno"/>
          <w:rFonts w:ascii="Calibri" w:hAnsi="Calibri" w:cs="Calibri"/>
          <w:b/>
          <w:bCs/>
          <w:i/>
          <w:iCs/>
          <w:lang w:val="de-DE"/>
        </w:rPr>
        <w:t>REZ</w:t>
      </w:r>
      <w:r w:rsidRPr="00835574">
        <w:rPr>
          <w:rStyle w:val="Ninguno"/>
          <w:rFonts w:ascii="Calibri" w:hAnsi="Calibri" w:cs="Calibri"/>
          <w:b/>
          <w:bCs/>
          <w:i/>
          <w:iCs/>
          <w:lang w:val="es-ES_tradnl"/>
        </w:rPr>
        <w:t xml:space="preserve">” </w:t>
      </w:r>
      <w:r w:rsidRPr="00835574">
        <w:rPr>
          <w:rStyle w:val="Ninguno"/>
          <w:rFonts w:ascii="Calibri" w:hAnsi="Calibri" w:cs="Calibri"/>
          <w:b/>
          <w:bCs/>
          <w:i/>
          <w:iCs/>
        </w:rPr>
        <w:t>DE OAXACA 2023 (UR 403).</w:t>
      </w:r>
    </w:p>
    <w:p w14:paraId="44AB7481" w14:textId="77777777" w:rsidR="00373877" w:rsidRPr="00835574" w:rsidRDefault="00373877" w:rsidP="00373877">
      <w:pPr>
        <w:pStyle w:val="Sinespaciado"/>
        <w:jc w:val="both"/>
        <w:rPr>
          <w:rStyle w:val="Ninguno"/>
          <w:rFonts w:ascii="Calibri" w:hAnsi="Calibri" w:cs="Calibri"/>
          <w:b/>
          <w:bCs/>
          <w:i/>
          <w:iCs/>
        </w:rPr>
      </w:pPr>
    </w:p>
    <w:p w14:paraId="12245E57" w14:textId="2A65258F" w:rsidR="009919DB" w:rsidRPr="00835574" w:rsidRDefault="009919DB" w:rsidP="009919DB">
      <w:pPr>
        <w:pStyle w:val="Sinespaciado"/>
        <w:jc w:val="both"/>
        <w:rPr>
          <w:rStyle w:val="Ninguno"/>
          <w:rFonts w:ascii="Calibri" w:eastAsia="Arial" w:hAnsi="Calibri" w:cs="Calibri"/>
          <w:b/>
          <w:bCs/>
          <w:i/>
          <w:iCs/>
        </w:rPr>
      </w:pPr>
      <w:r w:rsidRPr="00835574">
        <w:rPr>
          <w:rStyle w:val="Ninguno"/>
          <w:rFonts w:ascii="Calibri" w:hAnsi="Calibri" w:cs="Calibri"/>
          <w:b/>
          <w:bCs/>
          <w:i/>
          <w:iCs/>
        </w:rPr>
        <w:t>OBJETIVO ANUAL.</w:t>
      </w:r>
    </w:p>
    <w:p w14:paraId="1843E21C" w14:textId="77777777" w:rsidR="009919DB" w:rsidRPr="00835574" w:rsidRDefault="009919DB" w:rsidP="009919DB">
      <w:pPr>
        <w:pStyle w:val="Sinespaciado"/>
        <w:jc w:val="both"/>
        <w:rPr>
          <w:rStyle w:val="Ninguno"/>
          <w:rFonts w:ascii="Calibri" w:eastAsia="Arial" w:hAnsi="Calibri" w:cs="Calibri"/>
          <w:b/>
          <w:bCs/>
          <w:i/>
          <w:iCs/>
        </w:rPr>
      </w:pPr>
    </w:p>
    <w:p w14:paraId="7F460FFA" w14:textId="77777777" w:rsidR="009919DB" w:rsidRPr="00835574" w:rsidRDefault="009919DB" w:rsidP="00835574">
      <w:pPr>
        <w:pStyle w:val="Sinespaciado"/>
        <w:jc w:val="both"/>
        <w:rPr>
          <w:rStyle w:val="Ninguno"/>
          <w:rFonts w:ascii="Calibri" w:eastAsia="Arial" w:hAnsi="Calibri" w:cs="Calibri"/>
          <w:i/>
          <w:iCs/>
        </w:rPr>
      </w:pPr>
      <w:r w:rsidRPr="00835574">
        <w:rPr>
          <w:rStyle w:val="Ninguno"/>
          <w:rFonts w:ascii="Calibri" w:hAnsi="Calibri" w:cs="Calibri"/>
          <w:i/>
          <w:iCs/>
          <w:lang w:val="es-ES_tradnl"/>
        </w:rPr>
        <w:t>Garantizar la sostenibilidad financiera de la UABJO en el mediano plazo, ofreciendo educación de excelencia académica en programas pertinentes y regionalizados en media superior, superior y posgrado, así como en las modalidades escolarizada, semiescolarizada y a distancia, dirigida a los diferentes grupos poblacionales del Estado con alta responsabilidad, transparencia y eficiencia en el ejercicio de los recursos financieros.</w:t>
      </w:r>
    </w:p>
    <w:p w14:paraId="24F33159" w14:textId="77777777" w:rsidR="004C6D83" w:rsidRPr="00835574" w:rsidRDefault="004C6D83" w:rsidP="00A82CEA">
      <w:pPr>
        <w:pStyle w:val="Sinespaciado"/>
        <w:rPr>
          <w:rStyle w:val="Ninguno"/>
          <w:rFonts w:ascii="Calibri" w:hAnsi="Calibri" w:cs="Calibri"/>
          <w:b/>
          <w:bCs/>
          <w:i/>
          <w:iCs/>
          <w:lang w:val="de-DE"/>
        </w:rPr>
      </w:pPr>
    </w:p>
    <w:p w14:paraId="54580060" w14:textId="519D91E7" w:rsidR="009919DB" w:rsidRPr="00835574" w:rsidRDefault="009919DB" w:rsidP="00A82CEA">
      <w:pPr>
        <w:pStyle w:val="Sinespaciado"/>
        <w:rPr>
          <w:rStyle w:val="Ninguno"/>
          <w:rFonts w:ascii="Calibri" w:hAnsi="Calibri" w:cs="Calibri"/>
          <w:b/>
          <w:bCs/>
          <w:i/>
          <w:iCs/>
          <w:lang w:val="de-DE"/>
        </w:rPr>
      </w:pPr>
      <w:r w:rsidRPr="00835574">
        <w:rPr>
          <w:rStyle w:val="Ninguno"/>
          <w:rFonts w:ascii="Calibri" w:hAnsi="Calibri" w:cs="Calibri"/>
          <w:b/>
          <w:bCs/>
          <w:i/>
          <w:iCs/>
          <w:lang w:val="de-DE"/>
        </w:rPr>
        <w:t>ESTRATEGIAS.</w:t>
      </w:r>
    </w:p>
    <w:p w14:paraId="4F13360B" w14:textId="77777777" w:rsidR="009919DB" w:rsidRPr="00835574" w:rsidRDefault="009919DB" w:rsidP="009919DB">
      <w:pPr>
        <w:pStyle w:val="Sinespaciado"/>
        <w:jc w:val="both"/>
        <w:rPr>
          <w:rStyle w:val="Ninguno"/>
          <w:rFonts w:ascii="Calibri" w:eastAsia="Arial" w:hAnsi="Calibri" w:cs="Calibri"/>
          <w:b/>
          <w:bCs/>
          <w:i/>
          <w:iCs/>
        </w:rPr>
      </w:pPr>
    </w:p>
    <w:p w14:paraId="2F0D35AA" w14:textId="7777777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b/>
          <w:bCs/>
          <w:i/>
          <w:iCs/>
        </w:rPr>
        <w:t xml:space="preserve">E1. </w:t>
      </w:r>
      <w:r w:rsidRPr="00835574">
        <w:rPr>
          <w:rStyle w:val="Ninguno"/>
          <w:rFonts w:ascii="Calibri" w:hAnsi="Calibri" w:cs="Calibri"/>
          <w:i/>
          <w:iCs/>
          <w:lang w:val="es-ES_tradnl"/>
        </w:rPr>
        <w:t>Gestionar el incremento de la aportació</w:t>
      </w:r>
      <w:r w:rsidRPr="00835574">
        <w:rPr>
          <w:rStyle w:val="Ninguno"/>
          <w:rFonts w:ascii="Calibri" w:hAnsi="Calibri" w:cs="Calibri"/>
          <w:i/>
          <w:iCs/>
          <w:lang w:val="it-IT"/>
        </w:rPr>
        <w:t>n estatal al subsidio universitario.</w:t>
      </w:r>
    </w:p>
    <w:p w14:paraId="28D0834A" w14:textId="7777777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b/>
          <w:bCs/>
          <w:i/>
          <w:iCs/>
        </w:rPr>
        <w:t>E2</w:t>
      </w:r>
      <w:r w:rsidRPr="00835574">
        <w:rPr>
          <w:rStyle w:val="Ninguno"/>
          <w:rFonts w:ascii="Calibri" w:hAnsi="Calibri" w:cs="Calibri"/>
          <w:i/>
          <w:iCs/>
          <w:lang w:val="es-ES_tradnl"/>
        </w:rPr>
        <w:t>. Gestionar el incremento al subsidio universitario de acuerdo al número de estudiantes para materializar la obligatoriedad y la gratuidad de la educació</w:t>
      </w:r>
      <w:r w:rsidRPr="00835574">
        <w:rPr>
          <w:rStyle w:val="Ninguno"/>
          <w:rFonts w:ascii="Calibri" w:hAnsi="Calibri" w:cs="Calibri"/>
          <w:i/>
          <w:iCs/>
          <w:lang w:val="pt-PT"/>
        </w:rPr>
        <w:t>n superior.</w:t>
      </w:r>
      <w:r w:rsidRPr="00835574">
        <w:rPr>
          <w:rStyle w:val="Ninguno"/>
          <w:rFonts w:ascii="Calibri" w:eastAsia="Arial" w:hAnsi="Calibri" w:cs="Calibri"/>
          <w:b/>
          <w:bCs/>
          <w:i/>
          <w:iCs/>
        </w:rPr>
        <w:tab/>
      </w:r>
    </w:p>
    <w:p w14:paraId="62498120" w14:textId="7777777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b/>
          <w:bCs/>
          <w:i/>
          <w:iCs/>
        </w:rPr>
        <w:t>E</w:t>
      </w:r>
      <w:r w:rsidRPr="00835574">
        <w:rPr>
          <w:rStyle w:val="Ninguno"/>
          <w:rFonts w:ascii="Calibri" w:hAnsi="Calibri" w:cs="Calibri"/>
          <w:b/>
          <w:bCs/>
          <w:i/>
          <w:iCs/>
          <w:lang w:val="es-ES_tradnl"/>
        </w:rPr>
        <w:t>3</w:t>
      </w:r>
      <w:r w:rsidRPr="00835574">
        <w:rPr>
          <w:rStyle w:val="Ninguno"/>
          <w:rFonts w:ascii="Calibri" w:hAnsi="Calibri" w:cs="Calibri"/>
          <w:b/>
          <w:bCs/>
          <w:i/>
          <w:iCs/>
        </w:rPr>
        <w:t xml:space="preserve">. </w:t>
      </w:r>
      <w:r w:rsidRPr="00835574">
        <w:rPr>
          <w:rStyle w:val="Ninguno"/>
          <w:rFonts w:ascii="Calibri" w:eastAsia="Arial" w:hAnsi="Calibri" w:cs="Calibri"/>
          <w:i/>
          <w:iCs/>
          <w:lang w:val="es-ES_tradnl"/>
        </w:rPr>
        <w:t>Obtener el reconocimiento de plantilla de trabajadores y actualizaci</w:t>
      </w:r>
      <w:r w:rsidRPr="00835574">
        <w:rPr>
          <w:rStyle w:val="Ninguno"/>
          <w:rFonts w:ascii="Calibri" w:hAnsi="Calibri" w:cs="Calibri"/>
          <w:i/>
          <w:iCs/>
          <w:lang w:val="es-ES_tradnl"/>
        </w:rPr>
        <w:t>ó</w:t>
      </w:r>
      <w:r w:rsidRPr="00835574">
        <w:rPr>
          <w:rStyle w:val="Ninguno"/>
          <w:rFonts w:ascii="Calibri" w:hAnsi="Calibri" w:cs="Calibri"/>
          <w:i/>
          <w:iCs/>
          <w:lang w:val="pt-PT"/>
        </w:rPr>
        <w:t>n de tabuladores salariales.</w:t>
      </w:r>
    </w:p>
    <w:p w14:paraId="38EBA143" w14:textId="77777777" w:rsidR="009919DB" w:rsidRPr="00835574" w:rsidRDefault="009919DB" w:rsidP="009919DB">
      <w:pPr>
        <w:pStyle w:val="Sinespaciado"/>
        <w:jc w:val="both"/>
        <w:rPr>
          <w:rStyle w:val="Ninguno"/>
          <w:rFonts w:ascii="Calibri" w:eastAsia="Arial" w:hAnsi="Calibri" w:cs="Calibri"/>
          <w:b/>
          <w:bCs/>
          <w:i/>
          <w:iCs/>
        </w:rPr>
      </w:pPr>
      <w:r w:rsidRPr="00835574">
        <w:rPr>
          <w:rStyle w:val="Ninguno"/>
          <w:rFonts w:ascii="Calibri" w:hAnsi="Calibri" w:cs="Calibri"/>
          <w:b/>
          <w:bCs/>
          <w:i/>
          <w:iCs/>
        </w:rPr>
        <w:t>E</w:t>
      </w:r>
      <w:r w:rsidRPr="00835574">
        <w:rPr>
          <w:rStyle w:val="Ninguno"/>
          <w:rFonts w:ascii="Calibri" w:hAnsi="Calibri" w:cs="Calibri"/>
          <w:b/>
          <w:bCs/>
          <w:i/>
          <w:iCs/>
          <w:lang w:val="es-ES_tradnl"/>
        </w:rPr>
        <w:t>4</w:t>
      </w:r>
      <w:r w:rsidRPr="00835574">
        <w:rPr>
          <w:rStyle w:val="Ninguno"/>
          <w:rFonts w:ascii="Calibri" w:hAnsi="Calibri" w:cs="Calibri"/>
          <w:b/>
          <w:bCs/>
          <w:i/>
          <w:iCs/>
        </w:rPr>
        <w:t xml:space="preserve">. </w:t>
      </w:r>
      <w:r w:rsidRPr="00835574">
        <w:rPr>
          <w:rStyle w:val="Ninguno"/>
          <w:rFonts w:ascii="Calibri" w:hAnsi="Calibri" w:cs="Calibri"/>
          <w:i/>
          <w:iCs/>
          <w:lang w:val="es-ES_tradnl"/>
        </w:rPr>
        <w:t>Desarrollar planes para el incremento del Programa Fondo de Aportaciones Múltiples (FAM) para educació</w:t>
      </w:r>
      <w:r w:rsidRPr="00835574">
        <w:rPr>
          <w:rStyle w:val="Ninguno"/>
          <w:rFonts w:ascii="Calibri" w:hAnsi="Calibri" w:cs="Calibri"/>
          <w:i/>
          <w:iCs/>
          <w:lang w:val="pt-PT"/>
        </w:rPr>
        <w:t>n superior.</w:t>
      </w:r>
    </w:p>
    <w:p w14:paraId="42964BC0" w14:textId="77777777" w:rsidR="009919DB" w:rsidRPr="00835574" w:rsidRDefault="009919DB" w:rsidP="009919DB">
      <w:pPr>
        <w:pStyle w:val="Sinespaciado"/>
        <w:jc w:val="both"/>
        <w:rPr>
          <w:rStyle w:val="Ninguno"/>
          <w:rFonts w:ascii="Calibri" w:eastAsia="Arial" w:hAnsi="Calibri" w:cs="Calibri"/>
          <w:b/>
          <w:bCs/>
          <w:i/>
          <w:iCs/>
        </w:rPr>
      </w:pPr>
    </w:p>
    <w:p w14:paraId="0A4935F7" w14:textId="77777777" w:rsidR="00373877" w:rsidRPr="00835574" w:rsidRDefault="009919DB" w:rsidP="009919DB">
      <w:pPr>
        <w:pStyle w:val="Sinespaciado"/>
        <w:jc w:val="both"/>
        <w:rPr>
          <w:rStyle w:val="Ninguno"/>
          <w:rFonts w:ascii="Calibri" w:hAnsi="Calibri" w:cs="Calibri"/>
          <w:b/>
          <w:bCs/>
          <w:i/>
          <w:iCs/>
        </w:rPr>
      </w:pPr>
      <w:r w:rsidRPr="00835574">
        <w:rPr>
          <w:rStyle w:val="Ninguno"/>
          <w:rFonts w:ascii="Calibri" w:hAnsi="Calibri" w:cs="Calibri"/>
          <w:b/>
          <w:bCs/>
          <w:i/>
          <w:iCs/>
        </w:rPr>
        <w:t xml:space="preserve">METAS. </w:t>
      </w:r>
    </w:p>
    <w:p w14:paraId="30B17782" w14:textId="1B50EAB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b/>
          <w:bCs/>
          <w:i/>
          <w:iCs/>
        </w:rPr>
        <w:lastRenderedPageBreak/>
        <w:t>M1.</w:t>
      </w:r>
      <w:r w:rsidRPr="00835574">
        <w:rPr>
          <w:rStyle w:val="Ninguno"/>
          <w:rFonts w:ascii="Calibri" w:hAnsi="Calibri" w:cs="Calibri"/>
          <w:i/>
          <w:iCs/>
          <w:lang w:val="es-ES_tradnl"/>
        </w:rPr>
        <w:t xml:space="preserve"> Conservar la matrícula de los 18,337 estudiantes de educación superior en el ciclo escolar 2023-2024.</w:t>
      </w:r>
    </w:p>
    <w:p w14:paraId="23428BB9" w14:textId="77777777" w:rsidR="009919DB" w:rsidRPr="00835574" w:rsidRDefault="009919DB" w:rsidP="009919DB">
      <w:pPr>
        <w:pStyle w:val="Sinespaciado"/>
        <w:jc w:val="both"/>
        <w:rPr>
          <w:rStyle w:val="Ninguno"/>
          <w:rFonts w:ascii="Calibri" w:eastAsia="Arial" w:hAnsi="Calibri" w:cs="Calibri"/>
          <w:i/>
          <w:iCs/>
        </w:rPr>
      </w:pPr>
      <w:r w:rsidRPr="00835574">
        <w:rPr>
          <w:rStyle w:val="Ninguno"/>
          <w:rFonts w:ascii="Calibri" w:hAnsi="Calibri" w:cs="Calibri"/>
          <w:b/>
          <w:bCs/>
          <w:i/>
          <w:iCs/>
        </w:rPr>
        <w:t xml:space="preserve">M2. </w:t>
      </w:r>
      <w:r w:rsidRPr="00835574">
        <w:rPr>
          <w:rStyle w:val="Ninguno"/>
          <w:rFonts w:ascii="Calibri" w:hAnsi="Calibri" w:cs="Calibri"/>
          <w:i/>
          <w:iCs/>
          <w:lang w:val="es-ES_tradnl"/>
        </w:rPr>
        <w:t>Conservar y fortalecer a los 191 docentes investigadores en la carrera docente.</w:t>
      </w:r>
    </w:p>
    <w:p w14:paraId="4AF6F559" w14:textId="77777777" w:rsidR="009919DB" w:rsidRPr="00835574" w:rsidRDefault="009919DB" w:rsidP="009919DB">
      <w:pPr>
        <w:pStyle w:val="Sinespaciado"/>
        <w:jc w:val="both"/>
        <w:rPr>
          <w:rFonts w:ascii="Calibri" w:eastAsia="Arial Unicode MS" w:hAnsi="Calibri" w:cs="Calibri"/>
          <w:i/>
          <w:iCs/>
        </w:rPr>
      </w:pPr>
      <w:r w:rsidRPr="00835574">
        <w:rPr>
          <w:rStyle w:val="Ninguno"/>
          <w:rFonts w:ascii="Calibri" w:hAnsi="Calibri" w:cs="Calibri"/>
          <w:b/>
          <w:bCs/>
          <w:i/>
          <w:iCs/>
        </w:rPr>
        <w:t>M3.</w:t>
      </w:r>
      <w:r w:rsidRPr="00835574">
        <w:rPr>
          <w:rStyle w:val="Ninguno"/>
          <w:rFonts w:ascii="Calibri" w:eastAsia="Arial" w:hAnsi="Calibri" w:cs="Calibri"/>
          <w:i/>
          <w:iCs/>
          <w:lang w:val="es-ES_tradnl"/>
        </w:rPr>
        <w:t xml:space="preserve"> Contribuir en la mayor cobertura del gasto de operaci</w:t>
      </w:r>
      <w:r w:rsidRPr="00835574">
        <w:rPr>
          <w:rStyle w:val="Ninguno"/>
          <w:rFonts w:ascii="Calibri" w:hAnsi="Calibri" w:cs="Calibri"/>
          <w:i/>
          <w:iCs/>
          <w:lang w:val="es-ES_tradnl"/>
        </w:rPr>
        <w:t>ón en los 25 centros, escuelas, facultades e institutos.</w:t>
      </w:r>
    </w:p>
    <w:p w14:paraId="7F2F398F" w14:textId="77777777" w:rsidR="009919DB" w:rsidRPr="00835574" w:rsidRDefault="009919DB" w:rsidP="009919DB">
      <w:pPr>
        <w:pStyle w:val="Sinespaciado"/>
        <w:jc w:val="both"/>
        <w:rPr>
          <w:i/>
          <w:iCs/>
        </w:rPr>
      </w:pPr>
    </w:p>
    <w:p w14:paraId="51C0282C" w14:textId="77777777" w:rsidR="009919DB" w:rsidRPr="00835574" w:rsidRDefault="009919DB" w:rsidP="009919DB">
      <w:pPr>
        <w:pStyle w:val="Sinespaciado"/>
        <w:numPr>
          <w:ilvl w:val="0"/>
          <w:numId w:val="4"/>
        </w:numPr>
        <w:jc w:val="both"/>
        <w:rPr>
          <w:b/>
          <w:bCs/>
          <w:i/>
          <w:iCs/>
        </w:rPr>
      </w:pPr>
      <w:r w:rsidRPr="00835574">
        <w:rPr>
          <w:b/>
          <w:bCs/>
          <w:i/>
          <w:iCs/>
        </w:rPr>
        <w:t>COMISIÓN ESTATAL DE ARBITRAJE MÉDICO DE OAXACA (CEAMO)</w:t>
      </w:r>
    </w:p>
    <w:p w14:paraId="53D1F853" w14:textId="77777777" w:rsidR="009919DB" w:rsidRPr="00835574" w:rsidRDefault="009919DB" w:rsidP="009919DB">
      <w:pPr>
        <w:pStyle w:val="Sinespaciado"/>
        <w:jc w:val="both"/>
        <w:rPr>
          <w:i/>
          <w:iCs/>
        </w:rPr>
      </w:pPr>
    </w:p>
    <w:p w14:paraId="393067E9" w14:textId="77777777" w:rsidR="009919DB" w:rsidRPr="00835574" w:rsidRDefault="009919DB" w:rsidP="009919DB">
      <w:pPr>
        <w:pStyle w:val="Sinespaciado"/>
        <w:jc w:val="both"/>
        <w:rPr>
          <w:i/>
          <w:iCs/>
        </w:rPr>
      </w:pPr>
      <w:r w:rsidRPr="00835574">
        <w:rPr>
          <w:i/>
          <w:iCs/>
        </w:rPr>
        <w:t>La Comisión Estatal de Arbitraje Médico de Oaxaca es un Organismo Público Autónomo de la Administración Pública del Estado Libre y Soberano de Oaxaca, con participación ciudadana, dotado de autonomía de gestión, personalidad jurídica y patrimonio propio que tiene por objetivo la promoción de una buena práctica de la medicina como medio para elevar la calidad de los servicios de atención médica, con plena jurisdicción en el territorio del Estado para atender y resolver los asuntos de su competencia.</w:t>
      </w:r>
    </w:p>
    <w:p w14:paraId="110F34BB" w14:textId="77777777" w:rsidR="009919DB" w:rsidRPr="00835574" w:rsidRDefault="009919DB" w:rsidP="009919DB">
      <w:pPr>
        <w:pStyle w:val="Sinespaciado"/>
        <w:jc w:val="both"/>
        <w:rPr>
          <w:i/>
          <w:iCs/>
        </w:rPr>
      </w:pPr>
    </w:p>
    <w:p w14:paraId="0F66B0AB" w14:textId="77777777" w:rsidR="009919DB" w:rsidRPr="00835574" w:rsidRDefault="009919DB" w:rsidP="009919DB">
      <w:pPr>
        <w:pStyle w:val="Sinespaciado"/>
        <w:jc w:val="both"/>
        <w:rPr>
          <w:i/>
          <w:iCs/>
        </w:rPr>
      </w:pPr>
      <w:r w:rsidRPr="00835574">
        <w:rPr>
          <w:i/>
          <w:iCs/>
        </w:rPr>
        <w:t>Para que nuestra institución pueda cumplir con el objetivo para el que fue creada es necesario contar con los recursos humanos, materiales y financieros los cuales se ejercen con la legalidad, honradez, imparcialidad y eficiencia necesarios para poder optimizar estos recursos y aprovecharlos al máximo en el desempeño de las actividades propias de esta Comisión.</w:t>
      </w:r>
    </w:p>
    <w:p w14:paraId="71945594" w14:textId="77777777" w:rsidR="009919DB" w:rsidRPr="00835574" w:rsidRDefault="009919DB" w:rsidP="009919DB">
      <w:pPr>
        <w:pStyle w:val="Sinespaciado"/>
        <w:jc w:val="both"/>
        <w:rPr>
          <w:i/>
          <w:iCs/>
        </w:rPr>
      </w:pPr>
    </w:p>
    <w:p w14:paraId="62A3F737" w14:textId="77777777" w:rsidR="009919DB" w:rsidRPr="00835574" w:rsidRDefault="009919DB" w:rsidP="009919DB">
      <w:pPr>
        <w:pStyle w:val="Sinespaciado"/>
        <w:jc w:val="both"/>
        <w:rPr>
          <w:i/>
          <w:iCs/>
        </w:rPr>
      </w:pPr>
      <w:r w:rsidRPr="00835574">
        <w:rPr>
          <w:i/>
          <w:iCs/>
        </w:rPr>
        <w:t>Ahora bien, de conformidad con lo establecido en la Ley Estatal de Presupuesto y Responsabilidad Hacendaria en este Órgano Autónomo para el Ejercicio 2023 se implantarán las siguientes POLITICAS DE GASTO:</w:t>
      </w:r>
    </w:p>
    <w:p w14:paraId="5D8E05FE" w14:textId="77777777" w:rsidR="009919DB" w:rsidRPr="00835574" w:rsidRDefault="009919DB">
      <w:pPr>
        <w:pStyle w:val="Sinespaciado"/>
        <w:numPr>
          <w:ilvl w:val="0"/>
          <w:numId w:val="10"/>
        </w:numPr>
        <w:jc w:val="both"/>
        <w:rPr>
          <w:i/>
          <w:iCs/>
        </w:rPr>
      </w:pPr>
      <w:r w:rsidRPr="00835574">
        <w:rPr>
          <w:i/>
          <w:iCs/>
        </w:rPr>
        <w:t>Supervisar el consumo de la energía eléctrica en las instalaciones de esta Comisión, apagando luces en oficinas, las computadoras y equipos eléctricos que no se estén utilizando.</w:t>
      </w:r>
    </w:p>
    <w:p w14:paraId="2C88C9F3" w14:textId="77777777" w:rsidR="009919DB" w:rsidRPr="00835574" w:rsidRDefault="009919DB" w:rsidP="009919DB">
      <w:pPr>
        <w:pStyle w:val="Sinespaciado"/>
        <w:jc w:val="both"/>
        <w:rPr>
          <w:i/>
          <w:iCs/>
        </w:rPr>
      </w:pPr>
    </w:p>
    <w:p w14:paraId="16B83F9A" w14:textId="77777777" w:rsidR="009919DB" w:rsidRPr="00835574" w:rsidRDefault="009919DB">
      <w:pPr>
        <w:pStyle w:val="Sinespaciado"/>
        <w:numPr>
          <w:ilvl w:val="0"/>
          <w:numId w:val="10"/>
        </w:numPr>
        <w:jc w:val="both"/>
        <w:rPr>
          <w:i/>
          <w:iCs/>
        </w:rPr>
      </w:pPr>
      <w:r w:rsidRPr="00835574">
        <w:rPr>
          <w:i/>
          <w:iCs/>
        </w:rPr>
        <w:t>Controlar el uso de las líneas telefónicas en lo que se refiere a llamadas personales y a teléfonos celulares.</w:t>
      </w:r>
    </w:p>
    <w:p w14:paraId="356CC5FF" w14:textId="77777777" w:rsidR="009919DB" w:rsidRPr="00835574" w:rsidRDefault="009919DB" w:rsidP="009919DB">
      <w:pPr>
        <w:pStyle w:val="Sinespaciado"/>
        <w:jc w:val="both"/>
        <w:rPr>
          <w:i/>
          <w:iCs/>
        </w:rPr>
      </w:pPr>
    </w:p>
    <w:p w14:paraId="28F49351" w14:textId="77777777" w:rsidR="009919DB" w:rsidRPr="00835574" w:rsidRDefault="009919DB">
      <w:pPr>
        <w:pStyle w:val="Sinespaciado"/>
        <w:numPr>
          <w:ilvl w:val="0"/>
          <w:numId w:val="10"/>
        </w:numPr>
        <w:jc w:val="both"/>
        <w:rPr>
          <w:i/>
          <w:iCs/>
        </w:rPr>
      </w:pPr>
      <w:r w:rsidRPr="00835574">
        <w:rPr>
          <w:i/>
          <w:iCs/>
        </w:rPr>
        <w:t>No existe gasto por uso de celulares oficiales para los directivos de esta Comisión.</w:t>
      </w:r>
    </w:p>
    <w:p w14:paraId="49C44F6F" w14:textId="77777777" w:rsidR="009919DB" w:rsidRPr="00835574" w:rsidRDefault="009919DB" w:rsidP="009919DB">
      <w:pPr>
        <w:pStyle w:val="Sinespaciado"/>
        <w:jc w:val="both"/>
        <w:rPr>
          <w:i/>
          <w:iCs/>
        </w:rPr>
      </w:pPr>
    </w:p>
    <w:p w14:paraId="0B283A55" w14:textId="77777777" w:rsidR="009919DB" w:rsidRPr="00835574" w:rsidRDefault="009919DB">
      <w:pPr>
        <w:pStyle w:val="Sinespaciado"/>
        <w:numPr>
          <w:ilvl w:val="0"/>
          <w:numId w:val="10"/>
        </w:numPr>
        <w:jc w:val="both"/>
        <w:rPr>
          <w:i/>
          <w:iCs/>
        </w:rPr>
      </w:pPr>
      <w:r w:rsidRPr="00835574">
        <w:rPr>
          <w:i/>
          <w:iCs/>
        </w:rPr>
        <w:t>Vigilar que el papel se recicle y que no se realicen impresiones ociosas.</w:t>
      </w:r>
    </w:p>
    <w:p w14:paraId="21527CAA" w14:textId="77777777" w:rsidR="009919DB" w:rsidRPr="00835574" w:rsidRDefault="009919DB" w:rsidP="009919DB">
      <w:pPr>
        <w:pStyle w:val="Sinespaciado"/>
        <w:jc w:val="both"/>
        <w:rPr>
          <w:i/>
          <w:iCs/>
        </w:rPr>
      </w:pPr>
    </w:p>
    <w:p w14:paraId="7485388E" w14:textId="77777777" w:rsidR="009919DB" w:rsidRPr="00835574" w:rsidRDefault="009919DB">
      <w:pPr>
        <w:pStyle w:val="Sinespaciado"/>
        <w:numPr>
          <w:ilvl w:val="0"/>
          <w:numId w:val="10"/>
        </w:numPr>
        <w:jc w:val="both"/>
        <w:rPr>
          <w:i/>
          <w:iCs/>
        </w:rPr>
      </w:pPr>
      <w:r w:rsidRPr="00835574">
        <w:rPr>
          <w:i/>
          <w:iCs/>
        </w:rPr>
        <w:t xml:space="preserve">Las publicaciones oficiales de esta Comisión y el informe de actividades se hacen de manera digital a través de la página web de esta Comisión. </w:t>
      </w:r>
    </w:p>
    <w:p w14:paraId="35D7A5A2" w14:textId="77777777" w:rsidR="009919DB" w:rsidRPr="00835574" w:rsidRDefault="009919DB" w:rsidP="009919DB">
      <w:pPr>
        <w:pStyle w:val="Sinespaciado"/>
        <w:jc w:val="both"/>
        <w:rPr>
          <w:i/>
          <w:iCs/>
        </w:rPr>
      </w:pPr>
    </w:p>
    <w:p w14:paraId="2CFA100B" w14:textId="77777777" w:rsidR="009919DB" w:rsidRPr="00835574" w:rsidRDefault="009919DB">
      <w:pPr>
        <w:pStyle w:val="Sinespaciado"/>
        <w:numPr>
          <w:ilvl w:val="0"/>
          <w:numId w:val="10"/>
        </w:numPr>
        <w:jc w:val="both"/>
        <w:rPr>
          <w:i/>
          <w:iCs/>
        </w:rPr>
      </w:pPr>
      <w:r w:rsidRPr="00835574">
        <w:rPr>
          <w:i/>
          <w:iCs/>
        </w:rPr>
        <w:t>Observar el consumo de artículos de aseo, de papelería, de cafetería y de combustible de uso diario a fin de evitar desperdicios o robos.</w:t>
      </w:r>
    </w:p>
    <w:p w14:paraId="104647D2" w14:textId="77777777" w:rsidR="009919DB" w:rsidRPr="00835574" w:rsidRDefault="009919DB" w:rsidP="009919DB">
      <w:pPr>
        <w:pStyle w:val="Sinespaciado"/>
        <w:jc w:val="both"/>
        <w:rPr>
          <w:i/>
          <w:iCs/>
        </w:rPr>
      </w:pPr>
    </w:p>
    <w:p w14:paraId="733E0440" w14:textId="77777777" w:rsidR="009919DB" w:rsidRPr="00835574" w:rsidRDefault="009919DB">
      <w:pPr>
        <w:pStyle w:val="Sinespaciado"/>
        <w:numPr>
          <w:ilvl w:val="0"/>
          <w:numId w:val="10"/>
        </w:numPr>
        <w:jc w:val="both"/>
        <w:rPr>
          <w:i/>
          <w:iCs/>
        </w:rPr>
      </w:pPr>
      <w:r w:rsidRPr="00835574">
        <w:rPr>
          <w:i/>
          <w:iCs/>
        </w:rPr>
        <w:t>Enviar los vehículos de motor oficiales a mantenimiento y servicio de afinación adecuado para evitar gastos innecesarios en combustible y llevar la bitácora correspondiente.</w:t>
      </w:r>
    </w:p>
    <w:p w14:paraId="2D35F799" w14:textId="77777777" w:rsidR="009919DB" w:rsidRPr="00835574" w:rsidRDefault="009919DB" w:rsidP="009919DB">
      <w:pPr>
        <w:pStyle w:val="Sinespaciado"/>
        <w:jc w:val="both"/>
        <w:rPr>
          <w:i/>
          <w:iCs/>
        </w:rPr>
      </w:pPr>
    </w:p>
    <w:p w14:paraId="0A68753D" w14:textId="77777777" w:rsidR="009919DB" w:rsidRPr="00835574" w:rsidRDefault="009919DB">
      <w:pPr>
        <w:pStyle w:val="Sinespaciado"/>
        <w:numPr>
          <w:ilvl w:val="0"/>
          <w:numId w:val="10"/>
        </w:numPr>
        <w:jc w:val="both"/>
        <w:rPr>
          <w:i/>
          <w:iCs/>
        </w:rPr>
      </w:pPr>
      <w:r w:rsidRPr="00835574">
        <w:rPr>
          <w:i/>
          <w:iCs/>
        </w:rPr>
        <w:t xml:space="preserve">Cuidar el consumo de agua potable y revisar instalaciones hidráulicas para evitar fugas del vital líquido. </w:t>
      </w:r>
    </w:p>
    <w:p w14:paraId="646651AA" w14:textId="77777777" w:rsidR="009919DB" w:rsidRPr="00835574" w:rsidRDefault="009919DB" w:rsidP="009919DB">
      <w:pPr>
        <w:pStyle w:val="Sinespaciado"/>
        <w:jc w:val="both"/>
        <w:rPr>
          <w:i/>
          <w:iCs/>
        </w:rPr>
      </w:pPr>
    </w:p>
    <w:p w14:paraId="4457E2EA" w14:textId="77777777" w:rsidR="009919DB" w:rsidRPr="00835574" w:rsidRDefault="009919DB">
      <w:pPr>
        <w:pStyle w:val="Sinespaciado"/>
        <w:numPr>
          <w:ilvl w:val="0"/>
          <w:numId w:val="10"/>
        </w:numPr>
        <w:jc w:val="both"/>
        <w:rPr>
          <w:i/>
          <w:iCs/>
        </w:rPr>
      </w:pPr>
      <w:r w:rsidRPr="00835574">
        <w:rPr>
          <w:i/>
          <w:iCs/>
        </w:rPr>
        <w:t xml:space="preserve">Cotizar la adquisición de bienes y servicios necesarios para la operación de este Órgano Autónomo a fin de adquirirlos bajo las mejores condiciones de calidad y precio.   </w:t>
      </w:r>
    </w:p>
    <w:p w14:paraId="7AA90405" w14:textId="77777777" w:rsidR="009919DB" w:rsidRPr="00835574" w:rsidRDefault="009919DB" w:rsidP="009919DB">
      <w:pPr>
        <w:pStyle w:val="Sinespaciado"/>
        <w:jc w:val="both"/>
        <w:rPr>
          <w:i/>
          <w:iCs/>
        </w:rPr>
      </w:pPr>
    </w:p>
    <w:p w14:paraId="410C2BED" w14:textId="77777777" w:rsidR="009919DB" w:rsidRPr="00835574" w:rsidRDefault="009919DB">
      <w:pPr>
        <w:pStyle w:val="Sinespaciado"/>
        <w:numPr>
          <w:ilvl w:val="0"/>
          <w:numId w:val="10"/>
        </w:numPr>
        <w:jc w:val="both"/>
        <w:rPr>
          <w:i/>
          <w:iCs/>
        </w:rPr>
      </w:pPr>
      <w:r w:rsidRPr="00835574">
        <w:rPr>
          <w:i/>
          <w:iCs/>
        </w:rPr>
        <w:t>Controlar el gasto por concepto de viáticos mediante facturación electrónica de proveedores del lugar visitado a nombre de este Órgano Autónomo.</w:t>
      </w:r>
    </w:p>
    <w:p w14:paraId="0AFE0389" w14:textId="77777777" w:rsidR="009919DB" w:rsidRPr="00835574" w:rsidRDefault="009919DB" w:rsidP="009919DB">
      <w:pPr>
        <w:pStyle w:val="Sinespaciado"/>
        <w:jc w:val="both"/>
      </w:pPr>
    </w:p>
    <w:p w14:paraId="4DDA497A" w14:textId="77777777" w:rsidR="009919DB" w:rsidRPr="00835574" w:rsidRDefault="009919DB" w:rsidP="009919DB">
      <w:pPr>
        <w:pStyle w:val="Sinespaciado"/>
        <w:numPr>
          <w:ilvl w:val="0"/>
          <w:numId w:val="4"/>
        </w:numPr>
        <w:jc w:val="both"/>
        <w:rPr>
          <w:b/>
          <w:bCs/>
          <w:i/>
          <w:iCs/>
        </w:rPr>
      </w:pPr>
      <w:r w:rsidRPr="00835574">
        <w:rPr>
          <w:b/>
          <w:bCs/>
          <w:i/>
          <w:iCs/>
        </w:rPr>
        <w:t>ÓRGANO GARANTE DE ACCESO A LA INFORMACIÓN PÚBLICA, TRANSPARENCIA, PROTECCIÓN DE DATOS PERSONALES Y BUEN GOBIERNO DEL ESTADO DE OAXACA</w:t>
      </w:r>
    </w:p>
    <w:p w14:paraId="4A41BBB0" w14:textId="77777777" w:rsidR="009919DB" w:rsidRPr="00835574" w:rsidRDefault="009919DB" w:rsidP="009919DB">
      <w:pPr>
        <w:pStyle w:val="Sinespaciado"/>
        <w:jc w:val="both"/>
        <w:rPr>
          <w:b/>
          <w:bCs/>
          <w:i/>
          <w:iCs/>
        </w:rPr>
      </w:pPr>
    </w:p>
    <w:p w14:paraId="56CA3E21" w14:textId="77777777" w:rsidR="009919DB" w:rsidRPr="00835574" w:rsidRDefault="009919DB" w:rsidP="009919DB">
      <w:pPr>
        <w:pStyle w:val="Sinespaciado"/>
        <w:jc w:val="both"/>
        <w:rPr>
          <w:i/>
          <w:iCs/>
        </w:rPr>
      </w:pPr>
      <w:r w:rsidRPr="00835574">
        <w:rPr>
          <w:i/>
          <w:iCs/>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de Transparencia, Acceso a la Información Pública y Buen Gobierno del Estado de Oaxaca.</w:t>
      </w:r>
    </w:p>
    <w:p w14:paraId="27BE671C" w14:textId="77777777" w:rsidR="009919DB" w:rsidRPr="00835574" w:rsidRDefault="009919DB" w:rsidP="009919DB">
      <w:pPr>
        <w:pStyle w:val="Sinespaciado"/>
        <w:jc w:val="both"/>
        <w:rPr>
          <w:i/>
          <w:iCs/>
        </w:rPr>
      </w:pPr>
    </w:p>
    <w:p w14:paraId="13F5C947" w14:textId="03E914E0" w:rsidR="009919DB" w:rsidRPr="00835574" w:rsidRDefault="009919DB" w:rsidP="00B0171B">
      <w:pPr>
        <w:pStyle w:val="Sinespaciado"/>
        <w:jc w:val="both"/>
        <w:rPr>
          <w:i/>
          <w:iCs/>
        </w:rPr>
      </w:pPr>
      <w:r w:rsidRPr="00835574">
        <w:rPr>
          <w:i/>
          <w:iCs/>
        </w:rPr>
        <w:t>En cumplimiento de sus responsabilidades y en el ejercicio de sus facultades el Órgano Garante para el siguiente ejercicio fiscal observará las siguientes políticas del gasto en los términos que establezcan las disposiciones normativas aplicables, bajo el principio de disponibilidad presupuestal ajustándose a los principios de austeridad, honestidad, legalidad, racionalidad, transparencia y optimización de recursos.</w:t>
      </w:r>
    </w:p>
    <w:p w14:paraId="1FD29584" w14:textId="77777777" w:rsidR="00B0171B" w:rsidRPr="00835574" w:rsidRDefault="00B0171B" w:rsidP="00B0171B">
      <w:pPr>
        <w:pStyle w:val="Sinespaciado"/>
        <w:jc w:val="both"/>
        <w:rPr>
          <w:b/>
          <w:i/>
          <w:iCs/>
        </w:rPr>
      </w:pPr>
    </w:p>
    <w:p w14:paraId="57376E53" w14:textId="77777777" w:rsidR="009919DB" w:rsidRPr="00835574" w:rsidRDefault="009919DB" w:rsidP="009919DB">
      <w:pPr>
        <w:pStyle w:val="Sinespaciado"/>
        <w:jc w:val="both"/>
        <w:rPr>
          <w:b/>
          <w:i/>
          <w:iCs/>
        </w:rPr>
      </w:pPr>
      <w:r w:rsidRPr="00835574">
        <w:rPr>
          <w:b/>
          <w:i/>
          <w:iCs/>
        </w:rPr>
        <w:t>OBJETIVOS.</w:t>
      </w:r>
    </w:p>
    <w:p w14:paraId="04905593" w14:textId="77777777" w:rsidR="009919DB" w:rsidRPr="00835574" w:rsidRDefault="009919DB" w:rsidP="009919DB">
      <w:pPr>
        <w:pStyle w:val="Sinespaciado"/>
        <w:jc w:val="both"/>
        <w:rPr>
          <w:b/>
          <w:i/>
          <w:iCs/>
        </w:rPr>
      </w:pPr>
    </w:p>
    <w:p w14:paraId="302F9FB3" w14:textId="77777777" w:rsidR="009919DB" w:rsidRPr="00835574" w:rsidRDefault="009919DB" w:rsidP="009919DB">
      <w:pPr>
        <w:pStyle w:val="Sinespaciado"/>
        <w:jc w:val="both"/>
        <w:rPr>
          <w:i/>
          <w:iCs/>
        </w:rPr>
      </w:pPr>
      <w:r w:rsidRPr="00835574">
        <w:rPr>
          <w:i/>
          <w:iCs/>
        </w:rPr>
        <w:t>Ejercer los Recursos Públicos con base en los criterios de legalidad, eficiencia, eficacia, economía, transparencia, honradez, racionalidad, austeridad, control, rendición de cuentas y equidad de género, para el logro de los objetivos Institucionales.</w:t>
      </w:r>
    </w:p>
    <w:p w14:paraId="2E0E71D1" w14:textId="77777777" w:rsidR="009919DB" w:rsidRPr="00835574" w:rsidRDefault="009919DB" w:rsidP="009919DB">
      <w:pPr>
        <w:pStyle w:val="Sinespaciado"/>
        <w:jc w:val="both"/>
        <w:rPr>
          <w:i/>
          <w:iCs/>
        </w:rPr>
      </w:pPr>
    </w:p>
    <w:p w14:paraId="7B3125F4" w14:textId="77777777" w:rsidR="009919DB" w:rsidRPr="00835574" w:rsidRDefault="009919DB" w:rsidP="009919DB">
      <w:pPr>
        <w:pStyle w:val="Sinespaciado"/>
        <w:jc w:val="both"/>
        <w:rPr>
          <w:i/>
          <w:iCs/>
        </w:rPr>
      </w:pPr>
      <w:r w:rsidRPr="00835574">
        <w:rPr>
          <w:i/>
          <w:iCs/>
        </w:rPr>
        <w:t>Cumplir en forma correcta y oportuna con los requerimientos de información presupuestaria, contable, financiera y demás información que les solicite la Secretaría de Finanzas.</w:t>
      </w:r>
    </w:p>
    <w:p w14:paraId="278A0956" w14:textId="77777777" w:rsidR="009919DB" w:rsidRPr="00835574" w:rsidRDefault="009919DB" w:rsidP="009919DB">
      <w:pPr>
        <w:pStyle w:val="Sinespaciado"/>
        <w:jc w:val="both"/>
        <w:rPr>
          <w:i/>
          <w:iCs/>
        </w:rPr>
      </w:pPr>
    </w:p>
    <w:p w14:paraId="75950048" w14:textId="0D8F8CDC" w:rsidR="009919DB" w:rsidRDefault="009919DB" w:rsidP="009919DB">
      <w:pPr>
        <w:pStyle w:val="Sinespaciado"/>
        <w:jc w:val="both"/>
        <w:rPr>
          <w:i/>
          <w:iCs/>
        </w:rPr>
      </w:pPr>
      <w:r w:rsidRPr="00835574">
        <w:rPr>
          <w:i/>
          <w:iCs/>
        </w:rPr>
        <w:t>Implementar mecanismos administrativos que permitan la correcta ejecución del presupuesto asignado logrando ahorros que permitan eficientar el gasto.</w:t>
      </w:r>
    </w:p>
    <w:p w14:paraId="7038B467" w14:textId="77777777" w:rsidR="009919DB" w:rsidRPr="00835574" w:rsidRDefault="009919DB" w:rsidP="009919DB">
      <w:pPr>
        <w:pStyle w:val="Sinespaciado"/>
        <w:jc w:val="both"/>
        <w:rPr>
          <w:i/>
          <w:iCs/>
        </w:rPr>
      </w:pPr>
    </w:p>
    <w:p w14:paraId="4A6DC323" w14:textId="77777777" w:rsidR="009919DB" w:rsidRPr="00835574" w:rsidRDefault="009919DB" w:rsidP="009919DB">
      <w:pPr>
        <w:pStyle w:val="Sinespaciado"/>
        <w:jc w:val="both"/>
        <w:rPr>
          <w:b/>
          <w:i/>
          <w:iCs/>
        </w:rPr>
      </w:pPr>
      <w:r w:rsidRPr="00835574">
        <w:rPr>
          <w:b/>
          <w:i/>
          <w:iCs/>
        </w:rPr>
        <w:t>ESTRATEGIAS.</w:t>
      </w:r>
    </w:p>
    <w:p w14:paraId="6FE3E8F5" w14:textId="77777777" w:rsidR="009919DB" w:rsidRPr="00835574" w:rsidRDefault="009919DB" w:rsidP="009919DB">
      <w:pPr>
        <w:pStyle w:val="Sinespaciado"/>
        <w:jc w:val="both"/>
        <w:rPr>
          <w:b/>
          <w:i/>
          <w:iCs/>
        </w:rPr>
      </w:pPr>
    </w:p>
    <w:p w14:paraId="156CF7A4" w14:textId="77777777" w:rsidR="009919DB" w:rsidRPr="00835574" w:rsidRDefault="009919DB">
      <w:pPr>
        <w:pStyle w:val="Sinespaciado"/>
        <w:numPr>
          <w:ilvl w:val="0"/>
          <w:numId w:val="11"/>
        </w:numPr>
        <w:jc w:val="both"/>
        <w:rPr>
          <w:b/>
          <w:i/>
          <w:iCs/>
        </w:rPr>
      </w:pPr>
      <w:r w:rsidRPr="00835574">
        <w:rPr>
          <w:b/>
          <w:i/>
          <w:iCs/>
        </w:rPr>
        <w:t>Capítulo de Servicios Personales:</w:t>
      </w:r>
    </w:p>
    <w:p w14:paraId="10651324" w14:textId="77777777" w:rsidR="009919DB" w:rsidRPr="00835574" w:rsidRDefault="009919DB" w:rsidP="009919DB">
      <w:pPr>
        <w:pStyle w:val="Sinespaciado"/>
        <w:jc w:val="both"/>
        <w:rPr>
          <w:b/>
          <w:i/>
          <w:iCs/>
        </w:rPr>
      </w:pPr>
    </w:p>
    <w:p w14:paraId="109C0746" w14:textId="77777777" w:rsidR="009919DB" w:rsidRPr="00835574" w:rsidRDefault="009919DB" w:rsidP="009919DB">
      <w:pPr>
        <w:pStyle w:val="Sinespaciado"/>
        <w:jc w:val="both"/>
        <w:rPr>
          <w:i/>
          <w:iCs/>
        </w:rPr>
      </w:pPr>
      <w:r w:rsidRPr="00835574">
        <w:rPr>
          <w:i/>
          <w:iCs/>
        </w:rPr>
        <w:t>En este capítulo se contempla la distribución y clasificación ordenada y detallada, donde se observarán los criterios de economía, eficiencia, eficacia, imparcialidad, honradez, legalidad y transparencia.</w:t>
      </w:r>
    </w:p>
    <w:p w14:paraId="4CCFCEF0" w14:textId="77777777" w:rsidR="009919DB" w:rsidRPr="00835574" w:rsidRDefault="009919DB" w:rsidP="009919DB">
      <w:pPr>
        <w:pStyle w:val="Sinespaciado"/>
        <w:jc w:val="both"/>
        <w:rPr>
          <w:i/>
          <w:iCs/>
        </w:rPr>
      </w:pPr>
    </w:p>
    <w:p w14:paraId="5B42A41A" w14:textId="77777777" w:rsidR="009919DB" w:rsidRPr="00835574" w:rsidRDefault="009919DB" w:rsidP="009919DB">
      <w:pPr>
        <w:pStyle w:val="Sinespaciado"/>
        <w:jc w:val="both"/>
        <w:rPr>
          <w:i/>
          <w:iCs/>
        </w:rPr>
      </w:pPr>
      <w:r w:rsidRPr="00835574">
        <w:rPr>
          <w:i/>
          <w:iCs/>
        </w:rPr>
        <w:t>Las percepciones de los servidores públicos se fijarán con base en el tabulador de sueldos y salarios aprobado por el Consejo General del OGAIPO, y se determinarán en función del puesto, con sujeción a las previsiones presupuestarias correspondientes.</w:t>
      </w:r>
    </w:p>
    <w:p w14:paraId="269E6E43" w14:textId="77777777" w:rsidR="009919DB" w:rsidRPr="00835574" w:rsidRDefault="009919DB" w:rsidP="009919DB">
      <w:pPr>
        <w:pStyle w:val="Sinespaciado"/>
        <w:jc w:val="both"/>
        <w:rPr>
          <w:i/>
          <w:iCs/>
        </w:rPr>
      </w:pPr>
    </w:p>
    <w:p w14:paraId="26F8BAA3" w14:textId="77777777" w:rsidR="009919DB" w:rsidRPr="00835574" w:rsidRDefault="009919DB" w:rsidP="009919DB">
      <w:pPr>
        <w:pStyle w:val="Sinespaciado"/>
        <w:jc w:val="both"/>
        <w:rPr>
          <w:i/>
          <w:iCs/>
        </w:rPr>
      </w:pPr>
      <w:r w:rsidRPr="00835574">
        <w:rPr>
          <w:i/>
          <w:iCs/>
        </w:rPr>
        <w:t>Se fomentará la especialización del personal en el marco de sus funciones y responsabilidades.</w:t>
      </w:r>
    </w:p>
    <w:p w14:paraId="2F1CBED5" w14:textId="77777777" w:rsidR="009919DB" w:rsidRPr="00835574" w:rsidRDefault="009919DB" w:rsidP="009919DB">
      <w:pPr>
        <w:pStyle w:val="Sinespaciado"/>
        <w:jc w:val="both"/>
        <w:rPr>
          <w:i/>
          <w:iCs/>
        </w:rPr>
      </w:pPr>
    </w:p>
    <w:p w14:paraId="7CD1AD05" w14:textId="77777777" w:rsidR="009919DB" w:rsidRPr="00835574" w:rsidRDefault="009919DB" w:rsidP="009919DB">
      <w:pPr>
        <w:pStyle w:val="Sinespaciado"/>
        <w:jc w:val="both"/>
        <w:rPr>
          <w:i/>
          <w:iCs/>
        </w:rPr>
      </w:pPr>
      <w:r w:rsidRPr="00835574">
        <w:rPr>
          <w:i/>
          <w:iCs/>
        </w:rPr>
        <w:t>El gasto máximo a ejercer en servicios personales será el establecido en el presupuesto de egresos y por ningún motivo se realizarán compromisos no contemplados en el presupuesto.</w:t>
      </w:r>
    </w:p>
    <w:p w14:paraId="12E78923" w14:textId="77777777" w:rsidR="009919DB" w:rsidRPr="00835574" w:rsidRDefault="009919DB" w:rsidP="009919DB">
      <w:pPr>
        <w:pStyle w:val="Sinespaciado"/>
        <w:jc w:val="both"/>
        <w:rPr>
          <w:i/>
          <w:iCs/>
        </w:rPr>
      </w:pPr>
    </w:p>
    <w:p w14:paraId="5784C1FB" w14:textId="77777777" w:rsidR="009919DB" w:rsidRPr="00835574" w:rsidRDefault="009919DB">
      <w:pPr>
        <w:pStyle w:val="Sinespaciado"/>
        <w:numPr>
          <w:ilvl w:val="0"/>
          <w:numId w:val="11"/>
        </w:numPr>
        <w:jc w:val="both"/>
        <w:rPr>
          <w:b/>
          <w:i/>
          <w:iCs/>
        </w:rPr>
      </w:pPr>
      <w:r w:rsidRPr="00835574">
        <w:rPr>
          <w:b/>
          <w:i/>
          <w:iCs/>
        </w:rPr>
        <w:t>Capítulo de Materiales y Suministros:</w:t>
      </w:r>
    </w:p>
    <w:p w14:paraId="1B1291DA" w14:textId="77777777" w:rsidR="009919DB" w:rsidRPr="00835574" w:rsidRDefault="009919DB" w:rsidP="009919DB">
      <w:pPr>
        <w:pStyle w:val="Sinespaciado"/>
        <w:jc w:val="both"/>
        <w:rPr>
          <w:b/>
          <w:i/>
          <w:iCs/>
        </w:rPr>
      </w:pPr>
    </w:p>
    <w:p w14:paraId="32721F9A" w14:textId="77777777" w:rsidR="009919DB" w:rsidRPr="00835574" w:rsidRDefault="009919DB" w:rsidP="009919DB">
      <w:pPr>
        <w:pStyle w:val="Sinespaciado"/>
        <w:jc w:val="both"/>
        <w:rPr>
          <w:i/>
          <w:iCs/>
        </w:rPr>
      </w:pPr>
      <w:r w:rsidRPr="00835574">
        <w:rPr>
          <w:i/>
          <w:iCs/>
        </w:rPr>
        <w:t>Respecto a este Capítulo las adquisiciones de materiales y suministros se llevarán a cabo mediante la debida planeación y programación, con la finalidad de asegurar las mejores condiciones de oportunidad de compra, precio de los bienes y servicios, calidad, financiamiento, y demás circunstancias pertinentes y se implementarán las siguientes estrategias:</w:t>
      </w:r>
    </w:p>
    <w:p w14:paraId="5F3334C1" w14:textId="77777777" w:rsidR="009919DB" w:rsidRPr="00835574" w:rsidRDefault="009919DB" w:rsidP="009919DB">
      <w:pPr>
        <w:pStyle w:val="Sinespaciado"/>
        <w:jc w:val="both"/>
        <w:rPr>
          <w:i/>
          <w:iCs/>
        </w:rPr>
      </w:pPr>
    </w:p>
    <w:p w14:paraId="4A7BB9D6" w14:textId="77777777" w:rsidR="009919DB" w:rsidRPr="00835574" w:rsidRDefault="009919DB" w:rsidP="009919DB">
      <w:pPr>
        <w:pStyle w:val="Sinespaciado"/>
        <w:jc w:val="both"/>
        <w:rPr>
          <w:i/>
          <w:iCs/>
        </w:rPr>
      </w:pPr>
      <w:r w:rsidRPr="00835574">
        <w:rPr>
          <w:i/>
          <w:iCs/>
        </w:rPr>
        <w:t>Se fomentará el uso razonable y eficiente de materiales y útiles de oficina, así como los controles internos para la ministración de los mismos, por lo que la Dirección de Administración establecerá niveles máximos y mínimos en el inventario de artículos y materiales, con el fin de racionalizar su uso y abatir los costos por mermas, desperdicios y existencias excesivas.</w:t>
      </w:r>
    </w:p>
    <w:p w14:paraId="07952BE6" w14:textId="77777777" w:rsidR="009919DB" w:rsidRPr="00835574" w:rsidRDefault="009919DB" w:rsidP="009919DB">
      <w:pPr>
        <w:pStyle w:val="Sinespaciado"/>
        <w:jc w:val="both"/>
        <w:rPr>
          <w:i/>
          <w:iCs/>
        </w:rPr>
      </w:pPr>
    </w:p>
    <w:p w14:paraId="00C1D247" w14:textId="77777777" w:rsidR="009919DB" w:rsidRPr="00835574" w:rsidRDefault="009919DB" w:rsidP="009919DB">
      <w:pPr>
        <w:pStyle w:val="Sinespaciado"/>
        <w:jc w:val="both"/>
        <w:rPr>
          <w:i/>
          <w:iCs/>
        </w:rPr>
      </w:pPr>
      <w:r w:rsidRPr="00835574">
        <w:rPr>
          <w:i/>
          <w:iCs/>
        </w:rPr>
        <w:t>Con el objetivo de hacer eficiente el manejo de los recursos autorizados en este capítulo, las Unidades Administrativas deberán requerir con la debida oportunidad, en tiempo y forma los materiales, artículos y suministros para la adecuada operatividad de cada área y revisar las existencias, con el objeto de solicitar únicamente lo indispensable para el desarrollo de sus actividades, así como reducir al máximo el suministro de los artículos con costo elevado y no indispensable.</w:t>
      </w:r>
    </w:p>
    <w:p w14:paraId="26AC985B" w14:textId="77777777" w:rsidR="009919DB" w:rsidRPr="00835574" w:rsidRDefault="009919DB" w:rsidP="009919DB">
      <w:pPr>
        <w:pStyle w:val="Sinespaciado"/>
        <w:jc w:val="both"/>
        <w:rPr>
          <w:i/>
          <w:iCs/>
        </w:rPr>
      </w:pPr>
    </w:p>
    <w:p w14:paraId="465D9521" w14:textId="77777777" w:rsidR="009919DB" w:rsidRPr="00835574" w:rsidRDefault="009919DB" w:rsidP="009919DB">
      <w:pPr>
        <w:pStyle w:val="Sinespaciado"/>
        <w:jc w:val="both"/>
        <w:rPr>
          <w:i/>
          <w:iCs/>
        </w:rPr>
      </w:pPr>
      <w:r w:rsidRPr="00835574">
        <w:rPr>
          <w:i/>
          <w:iCs/>
        </w:rPr>
        <w:t>Crear una cultura y sentido de responsabilidad e institucionalidad en el personal de las diferentes Unidades Administrativas del OGAIPO para hacer uso racional de los materiales y útiles de oficina, insumos y servicios básicos, para lo cual las unidades administrativas deberán implementar medidas de ahorro al interior de las áreas.</w:t>
      </w:r>
    </w:p>
    <w:p w14:paraId="0F2EEF91" w14:textId="77777777" w:rsidR="009919DB" w:rsidRPr="00835574" w:rsidRDefault="009919DB" w:rsidP="009919DB">
      <w:pPr>
        <w:pStyle w:val="Sinespaciado"/>
        <w:jc w:val="both"/>
        <w:rPr>
          <w:i/>
          <w:iCs/>
        </w:rPr>
      </w:pPr>
    </w:p>
    <w:p w14:paraId="16A93DEF" w14:textId="77777777" w:rsidR="009919DB" w:rsidRPr="00835574" w:rsidRDefault="009919DB" w:rsidP="009919DB">
      <w:pPr>
        <w:pStyle w:val="Sinespaciado"/>
        <w:jc w:val="both"/>
        <w:rPr>
          <w:i/>
          <w:iCs/>
        </w:rPr>
      </w:pPr>
      <w:r w:rsidRPr="00835574">
        <w:rPr>
          <w:i/>
          <w:iCs/>
        </w:rPr>
        <w:t>Hacer uso racional del material de limpieza de las instalaciones con el objetivo de aumentar el buen uso de los materiales.</w:t>
      </w:r>
    </w:p>
    <w:p w14:paraId="75B9AC66" w14:textId="77777777" w:rsidR="009919DB" w:rsidRPr="00835574" w:rsidRDefault="009919DB" w:rsidP="009919DB">
      <w:pPr>
        <w:pStyle w:val="Sinespaciado"/>
        <w:jc w:val="both"/>
        <w:rPr>
          <w:i/>
          <w:iCs/>
        </w:rPr>
      </w:pPr>
    </w:p>
    <w:p w14:paraId="6F17B632" w14:textId="77777777" w:rsidR="009919DB" w:rsidRPr="00835574" w:rsidRDefault="009919DB" w:rsidP="009919DB">
      <w:pPr>
        <w:pStyle w:val="Sinespaciado"/>
        <w:jc w:val="both"/>
        <w:rPr>
          <w:i/>
          <w:iCs/>
        </w:rPr>
      </w:pPr>
      <w:r w:rsidRPr="00835574">
        <w:rPr>
          <w:i/>
          <w:iCs/>
        </w:rPr>
        <w:lastRenderedPageBreak/>
        <w:t>La adquisición de consumibles de equipo de cómputo e impresión se realizará con base en el número de impresoras en operación y se establecerán medidas que permitan el ahorro y la eficiencia de los mismos.</w:t>
      </w:r>
    </w:p>
    <w:p w14:paraId="7BB580CA" w14:textId="77777777" w:rsidR="009919DB" w:rsidRPr="00835574" w:rsidRDefault="009919DB" w:rsidP="009919DB">
      <w:pPr>
        <w:pStyle w:val="Sinespaciado"/>
        <w:jc w:val="both"/>
        <w:rPr>
          <w:i/>
          <w:iCs/>
        </w:rPr>
      </w:pPr>
    </w:p>
    <w:p w14:paraId="7D1AC37C" w14:textId="77777777" w:rsidR="009919DB" w:rsidRPr="00835574" w:rsidRDefault="009919DB" w:rsidP="009919DB">
      <w:pPr>
        <w:pStyle w:val="Sinespaciado"/>
        <w:jc w:val="both"/>
        <w:rPr>
          <w:i/>
          <w:iCs/>
        </w:rPr>
      </w:pPr>
      <w:r w:rsidRPr="00835574">
        <w:rPr>
          <w:i/>
          <w:iCs/>
        </w:rPr>
        <w:t>Se reforzarán los controles en el suministro de combustible a la plantilla vehicular del OGAIPO, procurando en todo momento garantizar el buen funcionamiento de los vehículos.</w:t>
      </w:r>
    </w:p>
    <w:p w14:paraId="06CA60DD" w14:textId="77777777" w:rsidR="009919DB" w:rsidRPr="00835574" w:rsidRDefault="009919DB" w:rsidP="009919DB">
      <w:pPr>
        <w:pStyle w:val="Sinespaciado"/>
        <w:jc w:val="both"/>
        <w:rPr>
          <w:i/>
          <w:iCs/>
        </w:rPr>
      </w:pPr>
    </w:p>
    <w:p w14:paraId="1CF2B8A8" w14:textId="77777777" w:rsidR="009919DB" w:rsidRPr="00835574" w:rsidRDefault="009919DB" w:rsidP="009919DB">
      <w:pPr>
        <w:pStyle w:val="Sinespaciado"/>
        <w:jc w:val="both"/>
        <w:rPr>
          <w:i/>
          <w:iCs/>
        </w:rPr>
      </w:pPr>
      <w:r w:rsidRPr="00835574">
        <w:rPr>
          <w:i/>
          <w:iCs/>
        </w:rPr>
        <w:t>Para efectuar cualquier tipo de erogaciones con cargo al presupuesto autorizado, las unidades administrativas deberán sujetarse a la normatividad para el ejercicio del presupuesto, así como al glosario de partidas presupuestarias, al saldo disponible en cada partida presupuestal, a las condiciones y a los rangos autorizados.</w:t>
      </w:r>
    </w:p>
    <w:p w14:paraId="26A2CB9E" w14:textId="77777777" w:rsidR="009919DB" w:rsidRPr="00835574" w:rsidRDefault="009919DB" w:rsidP="009919DB">
      <w:pPr>
        <w:pStyle w:val="Sinespaciado"/>
        <w:jc w:val="both"/>
        <w:rPr>
          <w:i/>
          <w:iCs/>
        </w:rPr>
      </w:pPr>
    </w:p>
    <w:p w14:paraId="4E6A23EB" w14:textId="77777777" w:rsidR="009919DB" w:rsidRPr="00835574" w:rsidRDefault="009919DB" w:rsidP="009919DB">
      <w:pPr>
        <w:pStyle w:val="Sinespaciado"/>
        <w:jc w:val="both"/>
        <w:rPr>
          <w:i/>
          <w:iCs/>
        </w:rPr>
      </w:pPr>
      <w:r w:rsidRPr="00835574">
        <w:rPr>
          <w:i/>
          <w:iCs/>
        </w:rPr>
        <w:t>No se contraerá ningún compromiso de gasto con cargo al presupuesto establecido dentro del calendario del plan de adquisiciones de bienes y servicios.</w:t>
      </w:r>
    </w:p>
    <w:p w14:paraId="58F0DF10" w14:textId="77777777" w:rsidR="009919DB" w:rsidRPr="00835574" w:rsidRDefault="009919DB" w:rsidP="009919DB">
      <w:pPr>
        <w:pStyle w:val="Sinespaciado"/>
        <w:jc w:val="both"/>
        <w:rPr>
          <w:i/>
          <w:iCs/>
        </w:rPr>
      </w:pPr>
    </w:p>
    <w:p w14:paraId="2BAA49D9" w14:textId="77777777" w:rsidR="009919DB" w:rsidRPr="00835574" w:rsidRDefault="009919DB">
      <w:pPr>
        <w:pStyle w:val="Sinespaciado"/>
        <w:numPr>
          <w:ilvl w:val="0"/>
          <w:numId w:val="12"/>
        </w:numPr>
        <w:jc w:val="both"/>
        <w:rPr>
          <w:b/>
          <w:i/>
          <w:iCs/>
        </w:rPr>
      </w:pPr>
      <w:r w:rsidRPr="00835574">
        <w:rPr>
          <w:b/>
          <w:i/>
          <w:iCs/>
        </w:rPr>
        <w:t>Servicios Generales:</w:t>
      </w:r>
    </w:p>
    <w:p w14:paraId="3EDFC5ED" w14:textId="77777777" w:rsidR="009919DB" w:rsidRPr="00835574" w:rsidRDefault="009919DB" w:rsidP="009919DB">
      <w:pPr>
        <w:pStyle w:val="Sinespaciado"/>
        <w:jc w:val="both"/>
        <w:rPr>
          <w:b/>
          <w:i/>
          <w:iCs/>
        </w:rPr>
      </w:pPr>
    </w:p>
    <w:p w14:paraId="29B8E280" w14:textId="77777777" w:rsidR="009919DB" w:rsidRPr="00835574" w:rsidRDefault="009919DB" w:rsidP="009919DB">
      <w:pPr>
        <w:pStyle w:val="Sinespaciado"/>
        <w:jc w:val="both"/>
        <w:rPr>
          <w:i/>
          <w:iCs/>
        </w:rPr>
      </w:pPr>
      <w:r w:rsidRPr="00835574">
        <w:rPr>
          <w:i/>
          <w:iCs/>
        </w:rPr>
        <w:t>En lo correspondiente a este capítulo, se realizarán las adquisiciones de servicios conforme a la normatividad vigente y se implementarán acciones que permitan la máxima eficiencia de los servicios adquiridos.</w:t>
      </w:r>
    </w:p>
    <w:p w14:paraId="34D61454" w14:textId="77777777" w:rsidR="009919DB" w:rsidRPr="00835574" w:rsidRDefault="009919DB" w:rsidP="009919DB">
      <w:pPr>
        <w:pStyle w:val="Sinespaciado"/>
        <w:jc w:val="both"/>
        <w:rPr>
          <w:i/>
          <w:iCs/>
        </w:rPr>
      </w:pPr>
    </w:p>
    <w:p w14:paraId="13D6AD77" w14:textId="77777777" w:rsidR="009919DB" w:rsidRPr="00835574" w:rsidRDefault="009919DB" w:rsidP="009919DB">
      <w:pPr>
        <w:pStyle w:val="Sinespaciado"/>
        <w:jc w:val="both"/>
        <w:rPr>
          <w:i/>
          <w:iCs/>
        </w:rPr>
      </w:pPr>
      <w:r w:rsidRPr="00835574">
        <w:rPr>
          <w:i/>
          <w:iCs/>
        </w:rPr>
        <w:t>Se implementarán medidas integrales que permitan el ahorro de energía eléctrica en las oficinas.</w:t>
      </w:r>
    </w:p>
    <w:p w14:paraId="2DC964A1" w14:textId="77777777" w:rsidR="009919DB" w:rsidRPr="00835574" w:rsidRDefault="009919DB" w:rsidP="009919DB">
      <w:pPr>
        <w:pStyle w:val="Sinespaciado"/>
        <w:jc w:val="both"/>
        <w:rPr>
          <w:i/>
          <w:iCs/>
        </w:rPr>
      </w:pPr>
    </w:p>
    <w:p w14:paraId="22264962" w14:textId="77777777" w:rsidR="009919DB" w:rsidRPr="00835574" w:rsidRDefault="009919DB" w:rsidP="009919DB">
      <w:pPr>
        <w:pStyle w:val="Sinespaciado"/>
        <w:jc w:val="both"/>
        <w:rPr>
          <w:i/>
          <w:iCs/>
        </w:rPr>
      </w:pPr>
      <w:r w:rsidRPr="00835574">
        <w:rPr>
          <w:i/>
          <w:iCs/>
        </w:rPr>
        <w:t>Se continuará con la programación de servicios periódicos y oportunos de la plantilla vehicular propiedad del OGAIPO, para disminuir costos por reparaciones emergentes.</w:t>
      </w:r>
    </w:p>
    <w:p w14:paraId="31DA06B9" w14:textId="77777777" w:rsidR="009919DB" w:rsidRPr="00835574" w:rsidRDefault="009919DB" w:rsidP="009919DB">
      <w:pPr>
        <w:pStyle w:val="Sinespaciado"/>
        <w:jc w:val="both"/>
        <w:rPr>
          <w:i/>
          <w:iCs/>
        </w:rPr>
      </w:pPr>
    </w:p>
    <w:p w14:paraId="1440C40C" w14:textId="77777777" w:rsidR="009919DB" w:rsidRPr="00835574" w:rsidRDefault="009919DB" w:rsidP="009919DB">
      <w:pPr>
        <w:pStyle w:val="Sinespaciado"/>
        <w:jc w:val="both"/>
        <w:rPr>
          <w:i/>
          <w:iCs/>
        </w:rPr>
      </w:pPr>
      <w:r w:rsidRPr="00835574">
        <w:rPr>
          <w:i/>
          <w:iCs/>
        </w:rPr>
        <w:t>La adquisición de servicios de telefonía, internet y comunicación, se llevará a cabo tomando en cuenta las necesidades reales del OGAIPO, el costo beneficio de los mismos y siempre priorizando el adecuado servicio a los sujetos obligados y a la ciudadanía.</w:t>
      </w:r>
    </w:p>
    <w:p w14:paraId="13ADB5DC" w14:textId="77777777" w:rsidR="009919DB" w:rsidRPr="00835574" w:rsidRDefault="009919DB" w:rsidP="009919DB">
      <w:pPr>
        <w:pStyle w:val="Sinespaciado"/>
        <w:jc w:val="both"/>
        <w:rPr>
          <w:i/>
          <w:iCs/>
        </w:rPr>
      </w:pPr>
    </w:p>
    <w:p w14:paraId="0A2686ED" w14:textId="77777777" w:rsidR="009919DB" w:rsidRPr="00835574" w:rsidRDefault="009919DB" w:rsidP="009919DB">
      <w:pPr>
        <w:pStyle w:val="Sinespaciado"/>
        <w:jc w:val="both"/>
        <w:rPr>
          <w:i/>
          <w:iCs/>
        </w:rPr>
      </w:pPr>
      <w:r w:rsidRPr="00835574">
        <w:rPr>
          <w:i/>
          <w:iCs/>
        </w:rPr>
        <w:t>Con el objeto de evitar costos no contemplados en el presupuesto derivado de siniestros vehiculares, se realizará el aseguramiento del total de la plantilla vehicular, tomando en cuenta el costo beneficio que brinden las compañías de seguros.</w:t>
      </w:r>
    </w:p>
    <w:p w14:paraId="0312E8F3" w14:textId="77777777" w:rsidR="009919DB" w:rsidRPr="00835574" w:rsidRDefault="009919DB" w:rsidP="009919DB">
      <w:pPr>
        <w:pStyle w:val="Sinespaciado"/>
        <w:jc w:val="both"/>
        <w:rPr>
          <w:i/>
          <w:iCs/>
        </w:rPr>
      </w:pPr>
    </w:p>
    <w:p w14:paraId="077F6442" w14:textId="77777777" w:rsidR="009919DB" w:rsidRPr="00835574" w:rsidRDefault="009919DB" w:rsidP="009919DB">
      <w:pPr>
        <w:pStyle w:val="Sinespaciado"/>
        <w:jc w:val="both"/>
        <w:rPr>
          <w:i/>
          <w:iCs/>
        </w:rPr>
      </w:pPr>
      <w:r w:rsidRPr="00835574">
        <w:rPr>
          <w:i/>
          <w:iCs/>
        </w:rPr>
        <w:t>Se supervisará el correcto uso de los bienes muebles e inmuebles con que cuenta el OGAIPO, con el objeto de garantizar la correcta conservación de los mismos, y en su caso realizar las acciones de mantenimiento preventivo y correctivo necesarias para garantizar su funcionamiento y evitar posibles daños estructurales y/o reparaciones que resultaran más costosas.</w:t>
      </w:r>
    </w:p>
    <w:p w14:paraId="3D35F160" w14:textId="77777777" w:rsidR="009919DB" w:rsidRPr="00835574" w:rsidRDefault="009919DB" w:rsidP="009919DB">
      <w:pPr>
        <w:pStyle w:val="Sinespaciado"/>
        <w:jc w:val="both"/>
        <w:rPr>
          <w:i/>
          <w:iCs/>
        </w:rPr>
      </w:pPr>
    </w:p>
    <w:p w14:paraId="5979BF97" w14:textId="77777777" w:rsidR="009919DB" w:rsidRPr="00835574" w:rsidRDefault="009919DB" w:rsidP="009919DB">
      <w:pPr>
        <w:pStyle w:val="Sinespaciado"/>
        <w:jc w:val="both"/>
        <w:rPr>
          <w:i/>
          <w:iCs/>
        </w:rPr>
      </w:pPr>
      <w:r w:rsidRPr="00835574">
        <w:rPr>
          <w:i/>
          <w:iCs/>
        </w:rPr>
        <w:t xml:space="preserve">El pago de viáticos, pasajes aéreos y terrestres solo se autorizarán para el desempeño de las funciones específicas, facultades y atribuciones inherentes al puesto del servidor público comisionado contenidas en el Reglamento Interno y Manual de Organización del OGAIPO y que sean </w:t>
      </w:r>
      <w:r w:rsidRPr="00835574">
        <w:rPr>
          <w:i/>
          <w:iCs/>
        </w:rPr>
        <w:lastRenderedPageBreak/>
        <w:t>estrictamente necesarias para dar cumplimiento a las actividades, objetivos y metas determinadas en el POA.</w:t>
      </w:r>
    </w:p>
    <w:p w14:paraId="2EB7D89A" w14:textId="77777777" w:rsidR="009919DB" w:rsidRPr="00835574" w:rsidRDefault="009919DB" w:rsidP="009919DB">
      <w:pPr>
        <w:pStyle w:val="Sinespaciado"/>
        <w:jc w:val="both"/>
        <w:rPr>
          <w:i/>
          <w:iCs/>
        </w:rPr>
      </w:pPr>
    </w:p>
    <w:p w14:paraId="5DFD5021" w14:textId="77777777" w:rsidR="009919DB" w:rsidRPr="00835574" w:rsidRDefault="009919DB" w:rsidP="009919DB">
      <w:pPr>
        <w:pStyle w:val="Sinespaciado"/>
        <w:jc w:val="both"/>
        <w:rPr>
          <w:b/>
          <w:i/>
          <w:iCs/>
        </w:rPr>
      </w:pPr>
      <w:r w:rsidRPr="00835574">
        <w:rPr>
          <w:b/>
          <w:i/>
          <w:iCs/>
        </w:rPr>
        <w:t xml:space="preserve">METAS </w:t>
      </w:r>
    </w:p>
    <w:p w14:paraId="59F7E711" w14:textId="77777777" w:rsidR="009919DB" w:rsidRPr="00835574" w:rsidRDefault="009919DB" w:rsidP="009919DB">
      <w:pPr>
        <w:pStyle w:val="Sinespaciado"/>
        <w:jc w:val="both"/>
        <w:rPr>
          <w:b/>
          <w:i/>
          <w:iCs/>
        </w:rPr>
      </w:pPr>
    </w:p>
    <w:p w14:paraId="1668524B" w14:textId="77777777" w:rsidR="009919DB" w:rsidRPr="00835574" w:rsidRDefault="009919DB" w:rsidP="009919DB">
      <w:pPr>
        <w:pStyle w:val="Sinespaciado"/>
        <w:jc w:val="both"/>
        <w:rPr>
          <w:i/>
          <w:iCs/>
        </w:rPr>
      </w:pPr>
      <w:r w:rsidRPr="00835574">
        <w:rPr>
          <w:i/>
          <w:iCs/>
        </w:rPr>
        <w:t xml:space="preserve">Cumplir eficaz y eficientemente los objetivos y metas institucionales establecidos para el ejercicio fiscal 2023, a través del adecuado ejercicio del presupuesto asignado al OGAIPO, con base en lo criterios de legalidad, eficiencia, eficacia, economía, transparencia, honradez, racionalidad, austeridad, control, rendición de cuentas y equidad de género. </w:t>
      </w:r>
    </w:p>
    <w:p w14:paraId="3B29B5ED" w14:textId="77777777" w:rsidR="009919DB" w:rsidRPr="00835574" w:rsidRDefault="009919DB" w:rsidP="009919DB">
      <w:pPr>
        <w:pStyle w:val="Sinespaciado"/>
        <w:jc w:val="both"/>
        <w:rPr>
          <w:i/>
          <w:iCs/>
        </w:rPr>
      </w:pPr>
    </w:p>
    <w:p w14:paraId="4A352528" w14:textId="77777777" w:rsidR="009919DB" w:rsidRPr="00835574" w:rsidRDefault="009919DB" w:rsidP="009919DB">
      <w:pPr>
        <w:pStyle w:val="Sinespaciado"/>
        <w:numPr>
          <w:ilvl w:val="0"/>
          <w:numId w:val="4"/>
        </w:numPr>
        <w:jc w:val="both"/>
        <w:rPr>
          <w:b/>
          <w:bCs/>
          <w:i/>
          <w:iCs/>
        </w:rPr>
      </w:pPr>
      <w:r w:rsidRPr="00835574">
        <w:rPr>
          <w:b/>
          <w:bCs/>
          <w:i/>
          <w:iCs/>
        </w:rPr>
        <w:t>FISCALÍA GENERAL DEL ESTADO DE OAXACA</w:t>
      </w:r>
      <w:bookmarkStart w:id="4" w:name="_Toc101434576"/>
    </w:p>
    <w:p w14:paraId="73DF441F" w14:textId="77777777" w:rsidR="009919DB" w:rsidRPr="00835574" w:rsidRDefault="009919DB" w:rsidP="009919DB">
      <w:pPr>
        <w:pStyle w:val="Sinespaciado"/>
        <w:ind w:left="720"/>
        <w:jc w:val="both"/>
        <w:rPr>
          <w:b/>
          <w:bCs/>
          <w:i/>
          <w:iCs/>
        </w:rPr>
      </w:pPr>
    </w:p>
    <w:p w14:paraId="57455C3C" w14:textId="77777777" w:rsidR="009919DB" w:rsidRPr="00835574" w:rsidRDefault="009919DB" w:rsidP="009919DB">
      <w:pPr>
        <w:pStyle w:val="Sinespaciado"/>
        <w:jc w:val="both"/>
        <w:rPr>
          <w:b/>
          <w:bCs/>
          <w:i/>
          <w:iCs/>
        </w:rPr>
      </w:pPr>
      <w:r w:rsidRPr="00835574">
        <w:rPr>
          <w:b/>
          <w:bCs/>
          <w:i/>
          <w:iCs/>
        </w:rPr>
        <w:t>INTRODUCCIÓN.</w:t>
      </w:r>
      <w:bookmarkEnd w:id="4"/>
    </w:p>
    <w:p w14:paraId="1AF0571F" w14:textId="77777777" w:rsidR="009919DB" w:rsidRPr="00835574" w:rsidRDefault="009919DB" w:rsidP="009919DB">
      <w:pPr>
        <w:pStyle w:val="Sinespaciado"/>
        <w:jc w:val="both"/>
        <w:rPr>
          <w:b/>
          <w:bCs/>
          <w:i/>
          <w:iCs/>
        </w:rPr>
      </w:pPr>
    </w:p>
    <w:p w14:paraId="114AF444" w14:textId="1A20710B" w:rsidR="009919DB" w:rsidRPr="00835574" w:rsidRDefault="009919DB" w:rsidP="009919DB">
      <w:pPr>
        <w:pStyle w:val="Sinespaciado"/>
        <w:jc w:val="both"/>
        <w:rPr>
          <w:i/>
          <w:iCs/>
        </w:rPr>
      </w:pPr>
      <w:r w:rsidRPr="00835574">
        <w:rPr>
          <w:i/>
          <w:iCs/>
        </w:rPr>
        <w:t xml:space="preserve">La Fiscalía General del Estado de Oaxaca (FGEO) como Órgano </w:t>
      </w:r>
      <w:r w:rsidR="003673E0">
        <w:rPr>
          <w:i/>
          <w:iCs/>
        </w:rPr>
        <w:t>A</w:t>
      </w:r>
      <w:r w:rsidRPr="00835574">
        <w:rPr>
          <w:i/>
          <w:iCs/>
        </w:rPr>
        <w:t>utónomo, tiene la obligación de realizar una serie de ajustes jurídicos, normativos y estructurales con pleno respeto a los derechos humanos, formular políticas integrales, sistemáticas, continuas y evaluables, así como programas y estrategias en materia de procuración de justicia enfocadas hacia una cultura de transparencia y rendición de cuentas asegurando el correcto ejercicio de los recursos públicos asignados.</w:t>
      </w:r>
    </w:p>
    <w:p w14:paraId="03898A6E" w14:textId="77777777" w:rsidR="009919DB" w:rsidRPr="00835574" w:rsidRDefault="009919DB" w:rsidP="009919DB">
      <w:pPr>
        <w:pStyle w:val="Sinespaciado"/>
        <w:jc w:val="both"/>
        <w:rPr>
          <w:i/>
          <w:iCs/>
        </w:rPr>
      </w:pPr>
    </w:p>
    <w:p w14:paraId="4E905A81" w14:textId="77777777" w:rsidR="009919DB" w:rsidRPr="00835574" w:rsidRDefault="009919DB" w:rsidP="009919DB">
      <w:pPr>
        <w:pStyle w:val="Sinespaciado"/>
        <w:jc w:val="both"/>
        <w:rPr>
          <w:i/>
          <w:iCs/>
        </w:rPr>
      </w:pPr>
      <w:r w:rsidRPr="00835574">
        <w:rPr>
          <w:i/>
          <w:iCs/>
        </w:rPr>
        <w:t>Con la finalidad de lograr la confianza de la sociedad, la FGEO ejercerá sus atribuciones encaminadas a una procuración de justicia eficaz y eficiente, respondiendo a la satisfacción del interés social y del bien común. La actuación de sus servidores públicos se regirá por los principios de legalidad, objetividad, profesionalismo, honradez, lealtad, imparcialidad, integridad, eficiencia, disciplina y respeto a los derechos humanos.</w:t>
      </w:r>
    </w:p>
    <w:p w14:paraId="12ECD7B7" w14:textId="77777777" w:rsidR="009919DB" w:rsidRPr="00835574" w:rsidRDefault="009919DB" w:rsidP="009919DB">
      <w:pPr>
        <w:pStyle w:val="Sinespaciado"/>
        <w:jc w:val="both"/>
        <w:rPr>
          <w:i/>
          <w:iCs/>
        </w:rPr>
      </w:pPr>
    </w:p>
    <w:p w14:paraId="231C3A95" w14:textId="77777777" w:rsidR="009919DB" w:rsidRPr="00835574" w:rsidRDefault="009919DB" w:rsidP="009919DB">
      <w:pPr>
        <w:pStyle w:val="Sinespaciado"/>
        <w:jc w:val="both"/>
        <w:rPr>
          <w:i/>
          <w:iCs/>
        </w:rPr>
      </w:pPr>
      <w:r w:rsidRPr="00835574">
        <w:rPr>
          <w:i/>
          <w:iCs/>
        </w:rPr>
        <w:t>Siendo la FGEO una institución en la cual reside el Ministerio Público, dotado de autonomía constitucional, administrativa, presupuestal, financiera y operativa con personalidad jurídica y patrimonio propios, determina sus prioridades de acuerdo con sus requerimientos y necesidades, por lo cual ejercerá sus facultades respondiendo a la satisfacción del interés público.</w:t>
      </w:r>
    </w:p>
    <w:p w14:paraId="0D003B53" w14:textId="77777777" w:rsidR="009919DB" w:rsidRPr="00835574" w:rsidRDefault="009919DB" w:rsidP="009919DB">
      <w:pPr>
        <w:pStyle w:val="Sinespaciado"/>
        <w:jc w:val="both"/>
        <w:rPr>
          <w:i/>
          <w:iCs/>
        </w:rPr>
      </w:pPr>
    </w:p>
    <w:p w14:paraId="5CF0A6C8" w14:textId="77777777" w:rsidR="009919DB" w:rsidRPr="00835574" w:rsidRDefault="009919DB" w:rsidP="009919DB">
      <w:pPr>
        <w:pStyle w:val="Sinespaciado"/>
        <w:jc w:val="both"/>
        <w:rPr>
          <w:i/>
          <w:iCs/>
        </w:rPr>
      </w:pPr>
      <w:r w:rsidRPr="00835574">
        <w:rPr>
          <w:i/>
          <w:iCs/>
        </w:rPr>
        <w:t>El presente proyecto tiene como objetivo la planeación de gasto, para lo cual se toma en consideración los procedimientos, programas y presupuestos de cada una de las áreas de la FGEO, identificando los objetivos, estrategias y metas que contribuyen al logro de los objetivos generales, permitiendo el uso eficiente de los recursos para el control presupuestario que promueva la programación, presupuestación, ejecución y registro de la información.</w:t>
      </w:r>
    </w:p>
    <w:p w14:paraId="173B3960" w14:textId="77777777" w:rsidR="009919DB" w:rsidRPr="00835574" w:rsidRDefault="009919DB" w:rsidP="009919DB">
      <w:pPr>
        <w:pStyle w:val="Sinespaciado"/>
        <w:jc w:val="both"/>
        <w:rPr>
          <w:i/>
          <w:iCs/>
        </w:rPr>
      </w:pPr>
    </w:p>
    <w:p w14:paraId="5614CEDF" w14:textId="77777777" w:rsidR="009919DB" w:rsidRPr="00835574" w:rsidRDefault="009919DB" w:rsidP="009919DB">
      <w:pPr>
        <w:pStyle w:val="Sinespaciado"/>
        <w:jc w:val="both"/>
        <w:rPr>
          <w:i/>
          <w:iCs/>
        </w:rPr>
      </w:pPr>
      <w:r w:rsidRPr="00835574">
        <w:rPr>
          <w:i/>
          <w:iCs/>
        </w:rPr>
        <w:t>En necesario precisar que el recurso otorgado a la FGEO no es suficiente, toda vez que existen áreas que forman parte de la estructura organizacional sin suficiencia presupuestal, sin embargo, es ineludible estimar todas las áreas, en virtud que cada una de ellas es indispensable para el cumplimiento de los objetivos establecidos en el Plan Estatal de Desarrollo del Gobierno del Estado de Oaxaca.</w:t>
      </w:r>
    </w:p>
    <w:p w14:paraId="7F5D1965" w14:textId="77777777" w:rsidR="009919DB" w:rsidRPr="00835574" w:rsidRDefault="009919DB" w:rsidP="009919DB">
      <w:pPr>
        <w:pStyle w:val="Sinespaciado"/>
        <w:jc w:val="both"/>
        <w:rPr>
          <w:b/>
          <w:bCs/>
          <w:i/>
          <w:iCs/>
        </w:rPr>
      </w:pPr>
      <w:bookmarkStart w:id="5" w:name="_Toc101434577"/>
      <w:r w:rsidRPr="00835574">
        <w:rPr>
          <w:b/>
          <w:bCs/>
          <w:i/>
          <w:iCs/>
        </w:rPr>
        <w:lastRenderedPageBreak/>
        <w:t>MARCO NORMATIVO Y METODOLÓGICO.</w:t>
      </w:r>
      <w:bookmarkEnd w:id="5"/>
    </w:p>
    <w:p w14:paraId="31A43DE4" w14:textId="77777777" w:rsidR="009919DB" w:rsidRPr="00835574" w:rsidRDefault="009919DB" w:rsidP="009919DB">
      <w:pPr>
        <w:pStyle w:val="Sinespaciado"/>
        <w:jc w:val="both"/>
        <w:rPr>
          <w:b/>
          <w:bCs/>
          <w:i/>
          <w:iCs/>
        </w:rPr>
      </w:pPr>
    </w:p>
    <w:p w14:paraId="04E71399" w14:textId="77777777" w:rsidR="009919DB" w:rsidRPr="00835574" w:rsidRDefault="009919DB" w:rsidP="009919DB">
      <w:pPr>
        <w:pStyle w:val="Sinespaciado"/>
        <w:jc w:val="both"/>
        <w:rPr>
          <w:b/>
          <w:bCs/>
          <w:i/>
          <w:iCs/>
        </w:rPr>
      </w:pPr>
      <w:bookmarkStart w:id="6" w:name="_Toc101434578"/>
      <w:r w:rsidRPr="00835574">
        <w:rPr>
          <w:b/>
          <w:bCs/>
          <w:i/>
          <w:iCs/>
        </w:rPr>
        <w:t>Fundamento para la aplicación de las Políticas.</w:t>
      </w:r>
      <w:bookmarkEnd w:id="6"/>
    </w:p>
    <w:p w14:paraId="2FE777CD" w14:textId="77777777" w:rsidR="009919DB" w:rsidRPr="00835574" w:rsidRDefault="009919DB" w:rsidP="009919DB">
      <w:pPr>
        <w:pStyle w:val="Sinespaciado"/>
        <w:jc w:val="both"/>
        <w:rPr>
          <w:b/>
          <w:bCs/>
          <w:i/>
          <w:iCs/>
        </w:rPr>
      </w:pPr>
    </w:p>
    <w:p w14:paraId="5DEBB52F" w14:textId="77777777" w:rsidR="009919DB" w:rsidRPr="00835574" w:rsidRDefault="009919DB" w:rsidP="009919DB">
      <w:pPr>
        <w:pStyle w:val="Sinespaciado"/>
        <w:jc w:val="both"/>
        <w:rPr>
          <w:i/>
          <w:iCs/>
        </w:rPr>
      </w:pPr>
      <w:r w:rsidRPr="00835574">
        <w:rPr>
          <w:i/>
          <w:iCs/>
        </w:rPr>
        <w:t>El artículo 26 de la Constitución Política de los Estados Unidos Mexicanos, establece que el Estado organizará un sistema de planeación democrática del desarrollo nacional que imprima solidez, dinamismo, competitividad, permanencia y equidad al crecimiento de la economía, para la independencia y la democratización política, social y cultural de la nación.</w:t>
      </w:r>
    </w:p>
    <w:p w14:paraId="3692B161" w14:textId="77777777" w:rsidR="009919DB" w:rsidRPr="00835574" w:rsidRDefault="009919DB" w:rsidP="009919DB">
      <w:pPr>
        <w:pStyle w:val="Sinespaciado"/>
        <w:jc w:val="both"/>
        <w:rPr>
          <w:i/>
          <w:iCs/>
        </w:rPr>
      </w:pPr>
    </w:p>
    <w:p w14:paraId="34AB9FE5" w14:textId="77777777" w:rsidR="009919DB" w:rsidRPr="00835574" w:rsidRDefault="009919DB" w:rsidP="009919DB">
      <w:pPr>
        <w:pStyle w:val="Sinespaciado"/>
        <w:jc w:val="both"/>
        <w:rPr>
          <w:b/>
          <w:bCs/>
          <w:i/>
          <w:iCs/>
        </w:rPr>
      </w:pPr>
      <w:bookmarkStart w:id="7" w:name="_Toc101434579"/>
      <w:r w:rsidRPr="00835574">
        <w:rPr>
          <w:b/>
          <w:bCs/>
          <w:i/>
          <w:iCs/>
        </w:rPr>
        <w:t>Constitución Política de los Estados Unidos Mexicanos.</w:t>
      </w:r>
      <w:bookmarkEnd w:id="7"/>
    </w:p>
    <w:p w14:paraId="3721DCDF" w14:textId="77777777" w:rsidR="009919DB" w:rsidRPr="00835574" w:rsidRDefault="009919DB" w:rsidP="009919DB">
      <w:pPr>
        <w:pStyle w:val="Sinespaciado"/>
        <w:jc w:val="both"/>
        <w:rPr>
          <w:b/>
          <w:bCs/>
          <w:i/>
          <w:iCs/>
        </w:rPr>
      </w:pPr>
    </w:p>
    <w:p w14:paraId="29233832" w14:textId="77777777" w:rsidR="009919DB" w:rsidRPr="00835574" w:rsidRDefault="009919DB" w:rsidP="009919DB">
      <w:pPr>
        <w:pStyle w:val="Sinespaciado"/>
        <w:jc w:val="both"/>
        <w:rPr>
          <w:i/>
          <w:iCs/>
        </w:rPr>
      </w:pPr>
      <w:r w:rsidRPr="00835574">
        <w:rPr>
          <w:i/>
          <w:iCs/>
        </w:rPr>
        <w:t>El artículo 21 establece que la investigación de los delitos corresponde al Ministerio Público y a las policías, las cuales actuarán bajo la conducción y mando de aquél en el ejercicio de esta función.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 La seguridad pública comprende la prevención, investigación y persecución de los delitos,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esta Constitución.</w:t>
      </w:r>
    </w:p>
    <w:p w14:paraId="09216354" w14:textId="77777777" w:rsidR="009919DB" w:rsidRPr="00835574" w:rsidRDefault="009919DB" w:rsidP="009919DB">
      <w:pPr>
        <w:pStyle w:val="Sinespaciado"/>
        <w:jc w:val="both"/>
        <w:rPr>
          <w:i/>
          <w:iCs/>
        </w:rPr>
      </w:pPr>
      <w:r w:rsidRPr="00835574">
        <w:rPr>
          <w:i/>
          <w:iCs/>
        </w:rPr>
        <w:t>El artículo 134 determina que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Los resultados del ejercicio de dichos recursos serán evaluados por las instancias técnicas que establezcan, respectivamente, la Federación y las Entidades Federativas, con el objeto de propiciar que los recursos económicos se asignen en los respectivos presupuestos en los términos del párrafo precedente. Lo anterior, sin menoscabo de lo dispuesto en los artículos 26, Apartado C, 74, fracción VI y 79 de esta Constitución.</w:t>
      </w:r>
    </w:p>
    <w:p w14:paraId="60EC33BA" w14:textId="77777777" w:rsidR="009919DB" w:rsidRPr="00835574" w:rsidRDefault="009919DB" w:rsidP="009919DB">
      <w:pPr>
        <w:pStyle w:val="Sinespaciado"/>
        <w:jc w:val="both"/>
        <w:rPr>
          <w:i/>
          <w:iCs/>
        </w:rPr>
      </w:pPr>
    </w:p>
    <w:p w14:paraId="608958D6" w14:textId="77777777" w:rsidR="009919DB" w:rsidRPr="00835574" w:rsidRDefault="009919DB" w:rsidP="009919DB">
      <w:pPr>
        <w:pStyle w:val="Sinespaciado"/>
        <w:jc w:val="both"/>
        <w:rPr>
          <w:b/>
          <w:bCs/>
          <w:i/>
          <w:iCs/>
        </w:rPr>
      </w:pPr>
      <w:bookmarkStart w:id="8" w:name="_Toc101434580"/>
      <w:r w:rsidRPr="00835574">
        <w:rPr>
          <w:b/>
          <w:bCs/>
          <w:i/>
          <w:iCs/>
        </w:rPr>
        <w:t>Constitución Política del Estado Libre y Soberano de Oaxaca.</w:t>
      </w:r>
      <w:bookmarkEnd w:id="8"/>
      <w:r w:rsidRPr="00835574">
        <w:rPr>
          <w:b/>
          <w:bCs/>
          <w:i/>
          <w:iCs/>
        </w:rPr>
        <w:t xml:space="preserve"> </w:t>
      </w:r>
    </w:p>
    <w:p w14:paraId="1021E3A9" w14:textId="77777777" w:rsidR="009919DB" w:rsidRPr="00835574" w:rsidRDefault="009919DB" w:rsidP="009919DB">
      <w:pPr>
        <w:pStyle w:val="Sinespaciado"/>
        <w:jc w:val="both"/>
        <w:rPr>
          <w:b/>
          <w:bCs/>
          <w:i/>
          <w:iCs/>
        </w:rPr>
      </w:pPr>
    </w:p>
    <w:p w14:paraId="7F277CAB" w14:textId="1CBDD6EC" w:rsidR="009919DB" w:rsidRPr="00835574" w:rsidRDefault="009919DB" w:rsidP="009919DB">
      <w:pPr>
        <w:pStyle w:val="Sinespaciado"/>
        <w:jc w:val="both"/>
        <w:rPr>
          <w:i/>
          <w:iCs/>
        </w:rPr>
      </w:pPr>
      <w:r w:rsidRPr="00835574">
        <w:rPr>
          <w:i/>
          <w:iCs/>
        </w:rPr>
        <w:t>Dentro del artículo 21 la Constitución del Estado establece que la investigación de los delitos corresponde al Ministerio Público y a los policías, l</w:t>
      </w:r>
      <w:r w:rsidR="00404330" w:rsidRPr="00835574">
        <w:rPr>
          <w:i/>
          <w:iCs/>
        </w:rPr>
        <w:t>o</w:t>
      </w:r>
      <w:r w:rsidRPr="00835574">
        <w:rPr>
          <w:i/>
          <w:iCs/>
        </w:rPr>
        <w:t xml:space="preserve">s cuales actuarán bajo la conducción y mando de aquél en el ejercicio de esta función. La seguridad pública es una función del Estado y de los Municipios, que comprende la prevención de los delitos; la investigación y persecución para hacerla efectiva, así como la sanción de las infracciones administrativas, en los términos de la ley, en las respectivas competencias que esta Constitución señala. La actuación de las instituciones de seguridad pública se regirá por los principios de legalidad, objetividad, eficiencia, profesionalismo, honradez y respeto a los derechos humanos reconocidos en la Constitución Federal y esta Constitución. </w:t>
      </w:r>
    </w:p>
    <w:p w14:paraId="33BE65DD" w14:textId="77777777" w:rsidR="009919DB" w:rsidRPr="00835574" w:rsidRDefault="009919DB" w:rsidP="009919DB">
      <w:pPr>
        <w:pStyle w:val="Sinespaciado"/>
        <w:jc w:val="both"/>
        <w:rPr>
          <w:i/>
          <w:iCs/>
        </w:rPr>
      </w:pPr>
      <w:r w:rsidRPr="00835574">
        <w:rPr>
          <w:i/>
          <w:iCs/>
        </w:rPr>
        <w:lastRenderedPageBreak/>
        <w:t>El artículo 114 constituye que, conforme a la Constitución Política para el Estado de Oaxaca y sus leyes respectivas, los Órganos Autónomos del Estado son entes públicos, con personalidad jurídica y patrimonio propio. Gozan de la autonomía técnica, para su administración presupuestaria y de gestión en el ejercicio de sus atribuciones, así como para decidir sobre su organización interna, funcionamiento y resoluciones. Tienen el derecho a iniciar leyes en las materias de su competencia, presentar el proyecto de presupuesto que requieran para su inclusión en el Presupuesto de Egresos del Estado, así como promover controversias constitucionales y acciones de inconstitucionalidad en el ámbito de su competencia local. Están facultados para imponer las sanciones administrativas que la ley establezca y, en su caso ordenar procedimientos ante la autoridad competente. Cada órgano rendirá un informe anual de labores al Congreso del Estado, el cual deberá hacer público a través de los medios electrónicos disponibles en formatos abiertos, accesibles y reutilizables.</w:t>
      </w:r>
    </w:p>
    <w:p w14:paraId="2A56A574" w14:textId="77777777" w:rsidR="009919DB" w:rsidRPr="00835574" w:rsidRDefault="009919DB" w:rsidP="009919DB">
      <w:pPr>
        <w:pStyle w:val="Sinespaciado"/>
        <w:jc w:val="both"/>
        <w:rPr>
          <w:i/>
          <w:iCs/>
        </w:rPr>
      </w:pPr>
    </w:p>
    <w:p w14:paraId="591628A2" w14:textId="77777777" w:rsidR="009919DB" w:rsidRPr="00835574" w:rsidRDefault="009919DB" w:rsidP="009919DB">
      <w:pPr>
        <w:pStyle w:val="Sinespaciado"/>
        <w:jc w:val="both"/>
        <w:rPr>
          <w:i/>
          <w:iCs/>
        </w:rPr>
      </w:pPr>
      <w:r w:rsidRPr="00835574">
        <w:rPr>
          <w:i/>
          <w:iCs/>
        </w:rPr>
        <w:t xml:space="preserve">Los Órganos Autónomos del Estado desarrollarán las actividades de su competencia, de conformidad con las siguientes disposiciones, según el Apartado D. DE LA FISCALÍA GENERAL DEL ESTADO DE OAXACA, el cual establece que, El Ministerio Público se organizará en una FGEO como órgano autónomo, dotado de personalidad jurídica y patrimonio propio. Corresponde al Ministerio Público la persecución, ante los tribunales, de todos los delitos del orden común; y por lo mismo, solicitará las medidas cautelares contra los imputados; buscará y presentará las pruebas que acrediten la participación de estos hechos que las Leyes señalen como delito; procurará que los juicios en materia penal se sigan con toda regularidad para que la impartición de justicia sea pronta y expedita; pedirá la aplicación de las penas e intervendrá en todos los asuntos que la Ley determine y que se rige en el ejercicio de sus funciones por los principios de buena fe, autonomía, certeza, legalidad, objetividad y pluriculturalidad, imparcialidad, eficacia, honradez, profesionalismo y respeto a los derechos humanos. </w:t>
      </w:r>
    </w:p>
    <w:p w14:paraId="4221B25B" w14:textId="77777777" w:rsidR="009919DB" w:rsidRPr="00835574" w:rsidRDefault="009919DB" w:rsidP="009919DB">
      <w:pPr>
        <w:pStyle w:val="Sinespaciado"/>
        <w:jc w:val="both"/>
        <w:rPr>
          <w:i/>
          <w:iCs/>
        </w:rPr>
      </w:pPr>
    </w:p>
    <w:p w14:paraId="21C42F4B" w14:textId="77777777" w:rsidR="009919DB" w:rsidRPr="00835574" w:rsidRDefault="009919DB" w:rsidP="009919DB">
      <w:pPr>
        <w:pStyle w:val="Sinespaciado"/>
        <w:jc w:val="both"/>
        <w:rPr>
          <w:i/>
          <w:iCs/>
        </w:rPr>
      </w:pPr>
      <w:r w:rsidRPr="00835574">
        <w:rPr>
          <w:i/>
          <w:iCs/>
        </w:rPr>
        <w:t>El artículo 137 constituye que los recursos económicos que disponga el Gobierno Estatal y los Municipios; así como sus respectivas Administraciones Públicas Paraestatales, se administrarán con austeridad, planeación, eficiencia, eficacia, economía, transparencia y honradez para satisfacer los objetivos a los que estén destinados.</w:t>
      </w:r>
    </w:p>
    <w:p w14:paraId="7E5708BD" w14:textId="77777777" w:rsidR="009919DB" w:rsidRPr="00835574" w:rsidRDefault="009919DB" w:rsidP="009919DB">
      <w:pPr>
        <w:pStyle w:val="Sinespaciado"/>
        <w:jc w:val="both"/>
        <w:rPr>
          <w:i/>
          <w:iCs/>
        </w:rPr>
      </w:pPr>
    </w:p>
    <w:p w14:paraId="6BF73936" w14:textId="77777777" w:rsidR="009919DB" w:rsidRPr="00835574" w:rsidRDefault="009919DB" w:rsidP="009919DB">
      <w:pPr>
        <w:pStyle w:val="Sinespaciado"/>
        <w:jc w:val="both"/>
        <w:rPr>
          <w:i/>
          <w:iCs/>
        </w:rPr>
      </w:pPr>
      <w:r w:rsidRPr="00835574">
        <w:rPr>
          <w:i/>
          <w:iCs/>
        </w:rPr>
        <w:t>Los resultados de la ejecución de los programas y del ejercicio de los recursos públicos serán evaluados por la instancia técnica que se constituya, teniendo a su cargo la evaluación del desempeño institucional por sí mismo o a través de la contratación de terceros, bajo principios de independencia, imparcialidad y transparencia.</w:t>
      </w:r>
    </w:p>
    <w:p w14:paraId="065AC4E2" w14:textId="77777777" w:rsidR="009919DB" w:rsidRPr="00835574" w:rsidRDefault="009919DB" w:rsidP="009919DB">
      <w:pPr>
        <w:pStyle w:val="Sinespaciado"/>
        <w:jc w:val="both"/>
        <w:rPr>
          <w:i/>
          <w:iCs/>
        </w:rPr>
      </w:pPr>
    </w:p>
    <w:p w14:paraId="633FB3BE" w14:textId="77777777" w:rsidR="009919DB" w:rsidRPr="00835574" w:rsidRDefault="009919DB" w:rsidP="009919DB">
      <w:pPr>
        <w:pStyle w:val="Sinespaciado"/>
        <w:jc w:val="both"/>
        <w:rPr>
          <w:b/>
          <w:bCs/>
          <w:i/>
          <w:iCs/>
        </w:rPr>
      </w:pPr>
      <w:bookmarkStart w:id="9" w:name="_Toc101434581"/>
      <w:r w:rsidRPr="00835574">
        <w:rPr>
          <w:b/>
          <w:bCs/>
          <w:i/>
          <w:iCs/>
        </w:rPr>
        <w:t>Ley Orgánica de la Fiscalía General del Estado de Oaxaca.</w:t>
      </w:r>
      <w:bookmarkEnd w:id="9"/>
    </w:p>
    <w:p w14:paraId="1DDF6F38" w14:textId="77777777" w:rsidR="009919DB" w:rsidRPr="00835574" w:rsidRDefault="009919DB" w:rsidP="009919DB">
      <w:pPr>
        <w:pStyle w:val="Sinespaciado"/>
        <w:jc w:val="both"/>
        <w:rPr>
          <w:b/>
          <w:bCs/>
          <w:i/>
          <w:iCs/>
        </w:rPr>
      </w:pPr>
    </w:p>
    <w:p w14:paraId="1FBA801A" w14:textId="77777777" w:rsidR="009919DB" w:rsidRPr="00835574" w:rsidRDefault="009919DB" w:rsidP="009919DB">
      <w:pPr>
        <w:pStyle w:val="Sinespaciado"/>
        <w:jc w:val="both"/>
        <w:rPr>
          <w:i/>
          <w:iCs/>
        </w:rPr>
      </w:pPr>
      <w:r w:rsidRPr="00835574">
        <w:rPr>
          <w:i/>
          <w:iCs/>
        </w:rPr>
        <w:t>El artículo 3 menciona que la Fiscalía General es la institución en la cual reside el Ministerio Público, dotada de autonomía constitucional, administrativa, presupuestal, financiera y operativa con personalidad jurídica y patrimonio propios, determinando sus prioridades de acuerdo con sus requerimientos y necesidades; ejercerá sus facultades respondiendo a la satisfacción del interés público.</w:t>
      </w:r>
    </w:p>
    <w:p w14:paraId="50D1273B" w14:textId="77777777" w:rsidR="009919DB" w:rsidRPr="00835574" w:rsidRDefault="009919DB" w:rsidP="009919DB">
      <w:pPr>
        <w:pStyle w:val="Sinespaciado"/>
        <w:jc w:val="both"/>
        <w:rPr>
          <w:i/>
          <w:iCs/>
        </w:rPr>
      </w:pPr>
    </w:p>
    <w:p w14:paraId="02DAEEB6" w14:textId="77777777" w:rsidR="009919DB" w:rsidRPr="00835574" w:rsidRDefault="009919DB" w:rsidP="009919DB">
      <w:pPr>
        <w:pStyle w:val="Sinespaciado"/>
        <w:jc w:val="both"/>
        <w:rPr>
          <w:i/>
          <w:iCs/>
        </w:rPr>
      </w:pPr>
      <w:r w:rsidRPr="00835574">
        <w:rPr>
          <w:i/>
          <w:iCs/>
        </w:rPr>
        <w:t>El Ministerio Público es el Órgano público autónomo único e indivisible, con independencia técnica, que ejerce sus atribuciones, facultades y funciones con pleno respeto a los derechos humanos, perspectiva de género y se rige por los principios de buena fe, autonomía, certeza, legalidad, objetividad, igualdad, ética, pluriculturalidad, imparcialidad, eficacia, honradez y profesionalismo, ejerce la dirección de la investigación y persecución de los delitos del orden común ante los tribunales y, para tal efecto, solicitará las medidas cautelares, buscará y presentará datos y elementos de prueba que acrediten la participación de los imputados en los hechos que las leyes señalen como delito; dirigirá las actuaciones de las policías, procurará que los juicios en materia penal se sigan con regularidad para que la impartición de justicia sea pronta y expedita, pedirá la sanción de las penas e intervendrá en todos los asuntos que la ley determine. El Ministerio Público tiene a su cargo ejercer la representación y defensa de los intereses de la sociedad en general y, de conformidad con las disposiciones aplicables, de la víctima u ofendido del delito.</w:t>
      </w:r>
    </w:p>
    <w:p w14:paraId="24045B4A" w14:textId="77777777" w:rsidR="009919DB" w:rsidRPr="00835574" w:rsidRDefault="009919DB" w:rsidP="009919DB">
      <w:pPr>
        <w:pStyle w:val="Sinespaciado"/>
        <w:jc w:val="both"/>
        <w:rPr>
          <w:i/>
          <w:iCs/>
        </w:rPr>
      </w:pPr>
    </w:p>
    <w:p w14:paraId="562EEEF0" w14:textId="77777777" w:rsidR="009919DB" w:rsidRPr="00835574" w:rsidRDefault="009919DB" w:rsidP="009919DB">
      <w:pPr>
        <w:pStyle w:val="Sinespaciado"/>
        <w:jc w:val="both"/>
        <w:rPr>
          <w:i/>
          <w:iCs/>
        </w:rPr>
      </w:pPr>
      <w:r w:rsidRPr="00835574">
        <w:rPr>
          <w:i/>
          <w:iCs/>
        </w:rPr>
        <w:t xml:space="preserve">Artículo 20. El Fiscal General ejercerá autoridad jerárquica sobre todo los servidores públicos de la Fiscalía General. </w:t>
      </w:r>
    </w:p>
    <w:p w14:paraId="619161D9" w14:textId="77777777" w:rsidR="009919DB" w:rsidRPr="00835574" w:rsidRDefault="009919DB" w:rsidP="009919DB">
      <w:pPr>
        <w:pStyle w:val="Sinespaciado"/>
        <w:jc w:val="both"/>
        <w:rPr>
          <w:i/>
          <w:iCs/>
        </w:rPr>
      </w:pPr>
    </w:p>
    <w:p w14:paraId="2163BAEB" w14:textId="77777777" w:rsidR="009919DB" w:rsidRPr="00835574" w:rsidRDefault="009919DB" w:rsidP="009919DB">
      <w:pPr>
        <w:pStyle w:val="Sinespaciado"/>
        <w:jc w:val="both"/>
        <w:rPr>
          <w:i/>
          <w:iCs/>
        </w:rPr>
      </w:pPr>
      <w:r w:rsidRPr="00835574">
        <w:rPr>
          <w:i/>
          <w:iCs/>
        </w:rPr>
        <w:t xml:space="preserve">El Fiscal General emitirá los reglamentos, acuerdos, circulares, instructivos, bases, protocolos y demás disposiciones jurídicas y administrativas necesarias que rijan la actuación de los servidores públicos que integran a la Fiscalía General. </w:t>
      </w:r>
    </w:p>
    <w:p w14:paraId="0A06913B" w14:textId="77777777" w:rsidR="009919DB" w:rsidRPr="00835574" w:rsidRDefault="009919DB" w:rsidP="009919DB">
      <w:pPr>
        <w:pStyle w:val="Sinespaciado"/>
        <w:jc w:val="both"/>
        <w:rPr>
          <w:i/>
          <w:iCs/>
        </w:rPr>
      </w:pPr>
    </w:p>
    <w:p w14:paraId="38FE3F54" w14:textId="77777777" w:rsidR="009919DB" w:rsidRPr="00835574" w:rsidRDefault="009919DB" w:rsidP="009919DB">
      <w:pPr>
        <w:pStyle w:val="Sinespaciado"/>
        <w:jc w:val="both"/>
        <w:rPr>
          <w:i/>
          <w:iCs/>
        </w:rPr>
      </w:pPr>
      <w:r w:rsidRPr="00835574">
        <w:rPr>
          <w:i/>
          <w:iCs/>
        </w:rPr>
        <w:t>Artículo 21. Para el despacho de los asuntos que competen a la Fiscalía General y al Ministerio Público conforme a las disposiciones aplicables, el Fiscal General se auxiliará de:</w:t>
      </w:r>
    </w:p>
    <w:p w14:paraId="0CD04A84" w14:textId="77777777" w:rsidR="009919DB" w:rsidRPr="00835574" w:rsidRDefault="009919DB" w:rsidP="009919DB">
      <w:pPr>
        <w:pStyle w:val="Sinespaciado"/>
        <w:jc w:val="both"/>
        <w:rPr>
          <w:i/>
          <w:iCs/>
        </w:rPr>
      </w:pPr>
    </w:p>
    <w:p w14:paraId="2DC76AFE" w14:textId="77777777" w:rsidR="009919DB" w:rsidRPr="00835574" w:rsidRDefault="009919DB">
      <w:pPr>
        <w:pStyle w:val="Sinespaciado"/>
        <w:numPr>
          <w:ilvl w:val="0"/>
          <w:numId w:val="29"/>
        </w:numPr>
        <w:jc w:val="both"/>
        <w:rPr>
          <w:i/>
          <w:iCs/>
        </w:rPr>
      </w:pPr>
      <w:r w:rsidRPr="00835574">
        <w:rPr>
          <w:i/>
          <w:iCs/>
        </w:rPr>
        <w:t>Las vicefiscalías;</w:t>
      </w:r>
    </w:p>
    <w:p w14:paraId="56605F39" w14:textId="77777777" w:rsidR="009919DB" w:rsidRPr="00835574" w:rsidRDefault="009919DB" w:rsidP="009919DB">
      <w:pPr>
        <w:pStyle w:val="Sinespaciado"/>
        <w:jc w:val="both"/>
        <w:rPr>
          <w:i/>
          <w:iCs/>
        </w:rPr>
      </w:pPr>
    </w:p>
    <w:p w14:paraId="4A31FC73" w14:textId="77777777" w:rsidR="009919DB" w:rsidRPr="00835574" w:rsidRDefault="009919DB">
      <w:pPr>
        <w:pStyle w:val="Sinespaciado"/>
        <w:numPr>
          <w:ilvl w:val="0"/>
          <w:numId w:val="29"/>
        </w:numPr>
        <w:jc w:val="both"/>
        <w:rPr>
          <w:i/>
          <w:iCs/>
        </w:rPr>
      </w:pPr>
      <w:r w:rsidRPr="00835574">
        <w:rPr>
          <w:i/>
          <w:iCs/>
        </w:rPr>
        <w:t>La Fiscalía Especializada en Materia de Combate a la Corrupción, la Fiscalía Especializada en Delitos Electorales y las fiscalías especializadas que se determinen en el Reglamento;</w:t>
      </w:r>
    </w:p>
    <w:p w14:paraId="7AAEB372" w14:textId="77777777" w:rsidR="009919DB" w:rsidRPr="00835574" w:rsidRDefault="009919DB" w:rsidP="009919DB">
      <w:pPr>
        <w:pStyle w:val="Sinespaciado"/>
        <w:jc w:val="both"/>
        <w:rPr>
          <w:i/>
          <w:iCs/>
        </w:rPr>
      </w:pPr>
    </w:p>
    <w:p w14:paraId="1B271D4B" w14:textId="77777777" w:rsidR="009919DB" w:rsidRPr="00835574" w:rsidRDefault="009919DB">
      <w:pPr>
        <w:pStyle w:val="Sinespaciado"/>
        <w:numPr>
          <w:ilvl w:val="0"/>
          <w:numId w:val="29"/>
        </w:numPr>
        <w:jc w:val="both"/>
        <w:rPr>
          <w:i/>
          <w:iCs/>
        </w:rPr>
      </w:pPr>
      <w:r w:rsidRPr="00835574">
        <w:rPr>
          <w:i/>
          <w:iCs/>
        </w:rPr>
        <w:t>Las fiscalías regionales;</w:t>
      </w:r>
    </w:p>
    <w:p w14:paraId="469B89E8" w14:textId="77777777" w:rsidR="009919DB" w:rsidRPr="00835574" w:rsidRDefault="009919DB" w:rsidP="009919DB">
      <w:pPr>
        <w:pStyle w:val="Sinespaciado"/>
        <w:jc w:val="both"/>
        <w:rPr>
          <w:i/>
          <w:iCs/>
        </w:rPr>
      </w:pPr>
    </w:p>
    <w:p w14:paraId="580663F1" w14:textId="77777777" w:rsidR="009919DB" w:rsidRPr="00835574" w:rsidRDefault="009919DB">
      <w:pPr>
        <w:pStyle w:val="Sinespaciado"/>
        <w:numPr>
          <w:ilvl w:val="0"/>
          <w:numId w:val="29"/>
        </w:numPr>
        <w:jc w:val="both"/>
        <w:rPr>
          <w:i/>
          <w:iCs/>
        </w:rPr>
      </w:pPr>
      <w:r w:rsidRPr="00835574">
        <w:rPr>
          <w:i/>
          <w:iCs/>
        </w:rPr>
        <w:t>La Agencia de Investigación;</w:t>
      </w:r>
    </w:p>
    <w:p w14:paraId="08350C84" w14:textId="77777777" w:rsidR="009919DB" w:rsidRPr="00835574" w:rsidRDefault="009919DB" w:rsidP="009919DB">
      <w:pPr>
        <w:pStyle w:val="Sinespaciado"/>
        <w:jc w:val="both"/>
        <w:rPr>
          <w:i/>
          <w:iCs/>
        </w:rPr>
      </w:pPr>
    </w:p>
    <w:p w14:paraId="762DD002" w14:textId="77777777" w:rsidR="009919DB" w:rsidRPr="00835574" w:rsidRDefault="009919DB">
      <w:pPr>
        <w:pStyle w:val="Sinespaciado"/>
        <w:numPr>
          <w:ilvl w:val="0"/>
          <w:numId w:val="29"/>
        </w:numPr>
        <w:jc w:val="both"/>
        <w:rPr>
          <w:i/>
          <w:iCs/>
        </w:rPr>
      </w:pPr>
      <w:r w:rsidRPr="00835574">
        <w:rPr>
          <w:i/>
          <w:iCs/>
        </w:rPr>
        <w:t>El Instituto al que se encuentren adscritos los peritos de la Fiscalía General en términos del Reglamento;</w:t>
      </w:r>
    </w:p>
    <w:p w14:paraId="5691D56F" w14:textId="77777777" w:rsidR="009919DB" w:rsidRPr="00835574" w:rsidRDefault="009919DB" w:rsidP="009919DB">
      <w:pPr>
        <w:pStyle w:val="Sinespaciado"/>
        <w:jc w:val="both"/>
        <w:rPr>
          <w:i/>
          <w:iCs/>
        </w:rPr>
      </w:pPr>
    </w:p>
    <w:p w14:paraId="33B5F524" w14:textId="77777777" w:rsidR="009919DB" w:rsidRPr="00835574" w:rsidRDefault="009919DB">
      <w:pPr>
        <w:pStyle w:val="Sinespaciado"/>
        <w:numPr>
          <w:ilvl w:val="0"/>
          <w:numId w:val="29"/>
        </w:numPr>
        <w:jc w:val="both"/>
        <w:rPr>
          <w:i/>
          <w:iCs/>
        </w:rPr>
      </w:pPr>
      <w:r w:rsidRPr="00835574">
        <w:rPr>
          <w:i/>
          <w:iCs/>
        </w:rPr>
        <w:t>La Oficialía Mayor;</w:t>
      </w:r>
    </w:p>
    <w:p w14:paraId="668A3C8B" w14:textId="77777777" w:rsidR="009919DB" w:rsidRPr="00835574" w:rsidRDefault="009919DB" w:rsidP="009919DB">
      <w:pPr>
        <w:pStyle w:val="Sinespaciado"/>
        <w:jc w:val="both"/>
        <w:rPr>
          <w:i/>
          <w:iCs/>
        </w:rPr>
      </w:pPr>
    </w:p>
    <w:p w14:paraId="604191DC" w14:textId="77777777" w:rsidR="009919DB" w:rsidRPr="00835574" w:rsidRDefault="009919DB">
      <w:pPr>
        <w:pStyle w:val="Sinespaciado"/>
        <w:numPr>
          <w:ilvl w:val="0"/>
          <w:numId w:val="29"/>
        </w:numPr>
        <w:jc w:val="both"/>
        <w:rPr>
          <w:i/>
          <w:iCs/>
        </w:rPr>
      </w:pPr>
      <w:r w:rsidRPr="00835574">
        <w:rPr>
          <w:i/>
          <w:iCs/>
        </w:rPr>
        <w:t>El Instituto encargado de la profesionalización de los servidores públicos de la Fiscalía General en términos del Reglamento;</w:t>
      </w:r>
    </w:p>
    <w:p w14:paraId="4E859E4E" w14:textId="77777777" w:rsidR="009919DB" w:rsidRPr="00835574" w:rsidRDefault="009919DB" w:rsidP="009919DB">
      <w:pPr>
        <w:pStyle w:val="Sinespaciado"/>
        <w:jc w:val="both"/>
        <w:rPr>
          <w:i/>
          <w:iCs/>
        </w:rPr>
      </w:pPr>
    </w:p>
    <w:p w14:paraId="7716FA10" w14:textId="77777777" w:rsidR="009919DB" w:rsidRPr="00835574" w:rsidRDefault="009919DB">
      <w:pPr>
        <w:pStyle w:val="Sinespaciado"/>
        <w:numPr>
          <w:ilvl w:val="0"/>
          <w:numId w:val="29"/>
        </w:numPr>
        <w:jc w:val="both"/>
        <w:rPr>
          <w:i/>
          <w:iCs/>
        </w:rPr>
      </w:pPr>
      <w:r w:rsidRPr="00835574">
        <w:rPr>
          <w:i/>
          <w:iCs/>
        </w:rPr>
        <w:t>La Contraloría Interna;</w:t>
      </w:r>
    </w:p>
    <w:p w14:paraId="3509F2ED" w14:textId="77777777" w:rsidR="009919DB" w:rsidRPr="00835574" w:rsidRDefault="009919DB">
      <w:pPr>
        <w:pStyle w:val="Sinespaciado"/>
        <w:numPr>
          <w:ilvl w:val="0"/>
          <w:numId w:val="29"/>
        </w:numPr>
        <w:jc w:val="both"/>
        <w:rPr>
          <w:i/>
          <w:iCs/>
        </w:rPr>
      </w:pPr>
      <w:r w:rsidRPr="00835574">
        <w:rPr>
          <w:i/>
          <w:iCs/>
        </w:rPr>
        <w:lastRenderedPageBreak/>
        <w:t>La Visitaduría General;</w:t>
      </w:r>
    </w:p>
    <w:p w14:paraId="59B92EFC" w14:textId="77777777" w:rsidR="009919DB" w:rsidRPr="00835574" w:rsidRDefault="009919DB" w:rsidP="009919DB">
      <w:pPr>
        <w:pStyle w:val="Sinespaciado"/>
        <w:jc w:val="both"/>
        <w:rPr>
          <w:i/>
          <w:iCs/>
        </w:rPr>
      </w:pPr>
    </w:p>
    <w:p w14:paraId="304C5EED" w14:textId="77777777" w:rsidR="009919DB" w:rsidRPr="00835574" w:rsidRDefault="009919DB">
      <w:pPr>
        <w:pStyle w:val="Sinespaciado"/>
        <w:numPr>
          <w:ilvl w:val="0"/>
          <w:numId w:val="29"/>
        </w:numPr>
        <w:jc w:val="both"/>
        <w:rPr>
          <w:i/>
          <w:iCs/>
        </w:rPr>
      </w:pPr>
      <w:r w:rsidRPr="00835574">
        <w:rPr>
          <w:i/>
          <w:iCs/>
        </w:rPr>
        <w:t>Las direcciones en términos del Reglamento;</w:t>
      </w:r>
    </w:p>
    <w:p w14:paraId="7CE27AB8" w14:textId="77777777" w:rsidR="009919DB" w:rsidRPr="00835574" w:rsidRDefault="009919DB" w:rsidP="009919DB">
      <w:pPr>
        <w:pStyle w:val="Sinespaciado"/>
        <w:jc w:val="both"/>
        <w:rPr>
          <w:i/>
          <w:iCs/>
        </w:rPr>
      </w:pPr>
    </w:p>
    <w:p w14:paraId="178ACFC5" w14:textId="77777777" w:rsidR="009919DB" w:rsidRPr="00835574" w:rsidRDefault="009919DB">
      <w:pPr>
        <w:pStyle w:val="Sinespaciado"/>
        <w:numPr>
          <w:ilvl w:val="0"/>
          <w:numId w:val="29"/>
        </w:numPr>
        <w:jc w:val="both"/>
        <w:rPr>
          <w:i/>
          <w:iCs/>
        </w:rPr>
      </w:pPr>
      <w:r w:rsidRPr="00835574">
        <w:rPr>
          <w:i/>
          <w:iCs/>
        </w:rPr>
        <w:t>Las fiscalías;</w:t>
      </w:r>
    </w:p>
    <w:p w14:paraId="435173D6" w14:textId="77777777" w:rsidR="009919DB" w:rsidRPr="00835574" w:rsidRDefault="009919DB" w:rsidP="009919DB">
      <w:pPr>
        <w:pStyle w:val="Sinespaciado"/>
        <w:jc w:val="both"/>
        <w:rPr>
          <w:i/>
          <w:iCs/>
        </w:rPr>
      </w:pPr>
    </w:p>
    <w:p w14:paraId="26D5A638" w14:textId="77777777" w:rsidR="009919DB" w:rsidRPr="00835574" w:rsidRDefault="009919DB">
      <w:pPr>
        <w:pStyle w:val="Sinespaciado"/>
        <w:numPr>
          <w:ilvl w:val="0"/>
          <w:numId w:val="29"/>
        </w:numPr>
        <w:jc w:val="both"/>
        <w:rPr>
          <w:i/>
          <w:iCs/>
        </w:rPr>
      </w:pPr>
      <w:r w:rsidRPr="00835574">
        <w:rPr>
          <w:i/>
          <w:iCs/>
        </w:rPr>
        <w:t>Las unidades administrativas u operativas, y</w:t>
      </w:r>
    </w:p>
    <w:p w14:paraId="6D568523" w14:textId="77777777" w:rsidR="009919DB" w:rsidRPr="00835574" w:rsidRDefault="009919DB" w:rsidP="009919DB">
      <w:pPr>
        <w:pStyle w:val="Sinespaciado"/>
        <w:jc w:val="both"/>
        <w:rPr>
          <w:i/>
          <w:iCs/>
        </w:rPr>
      </w:pPr>
    </w:p>
    <w:p w14:paraId="2B3E84E7" w14:textId="77777777" w:rsidR="009919DB" w:rsidRPr="00835574" w:rsidRDefault="009919DB">
      <w:pPr>
        <w:pStyle w:val="Sinespaciado"/>
        <w:numPr>
          <w:ilvl w:val="0"/>
          <w:numId w:val="29"/>
        </w:numPr>
        <w:jc w:val="both"/>
        <w:rPr>
          <w:i/>
          <w:iCs/>
        </w:rPr>
      </w:pPr>
      <w:r w:rsidRPr="00835574">
        <w:rPr>
          <w:i/>
          <w:iCs/>
        </w:rPr>
        <w:t>Las demás áreas que se prevean en el Reglamento y demás disposiciones aplicables.</w:t>
      </w:r>
    </w:p>
    <w:p w14:paraId="187D6F0E" w14:textId="77777777" w:rsidR="009919DB" w:rsidRPr="00835574" w:rsidRDefault="009919DB" w:rsidP="009919DB">
      <w:pPr>
        <w:pStyle w:val="Sinespaciado"/>
        <w:jc w:val="both"/>
        <w:rPr>
          <w:i/>
          <w:iCs/>
        </w:rPr>
      </w:pPr>
    </w:p>
    <w:p w14:paraId="1F1A3D76" w14:textId="77777777" w:rsidR="009919DB" w:rsidRPr="00835574" w:rsidRDefault="009919DB" w:rsidP="009919DB">
      <w:pPr>
        <w:pStyle w:val="Sinespaciado"/>
        <w:jc w:val="both"/>
        <w:rPr>
          <w:i/>
          <w:iCs/>
        </w:rPr>
      </w:pPr>
      <w:r w:rsidRPr="00835574">
        <w:rPr>
          <w:i/>
          <w:iCs/>
        </w:rPr>
        <w:t>Para el nombramiento de las personas titulares de las áreas señaladas en las fracciones que anteceden, el o la titular de la Fiscalía General deberá observar el principio de paridad de género, así mismo, deberá generar mecanismos para establecer la paridad de género entre hombres y mujeres, en las convocatorias para formar parte del Servicio Profesional de Carrera Ministerial, Policial y Pericial. El Reglamento y los instrumentos que emanen de éste establecerán las vicefiscalías, las fiscalías especializadas, las fiscalías regionales, los institutos, las direcciones, las fiscalías, las unidades administrativas u operativas y demás áreas administrativas que se requieran; sus atribuciones, facultades y funciones, así como su organización y funcionamiento. Asimismo, el Reglamento y los instrumentos que emanen regularán todo lo concerniente a la organización y funcionamiento de las fiscalías especializadas en Materia de Combate a la Corrupción y en Delitos Electorales, la Agencia de Investigación, los Institutos de la Fiscalía General, la Oficialía Mayor, la Contraloría Interna, y la Visitaduría General.</w:t>
      </w:r>
    </w:p>
    <w:p w14:paraId="4CB49562" w14:textId="77777777" w:rsidR="009919DB" w:rsidRPr="00835574" w:rsidRDefault="009919DB" w:rsidP="009919DB">
      <w:pPr>
        <w:pStyle w:val="Sinespaciado"/>
        <w:jc w:val="both"/>
        <w:rPr>
          <w:i/>
          <w:iCs/>
        </w:rPr>
      </w:pPr>
    </w:p>
    <w:p w14:paraId="46D3AF50" w14:textId="77777777" w:rsidR="009919DB" w:rsidRPr="00835574" w:rsidRDefault="009919DB" w:rsidP="009919DB">
      <w:pPr>
        <w:pStyle w:val="Sinespaciado"/>
        <w:jc w:val="both"/>
        <w:rPr>
          <w:i/>
          <w:iCs/>
        </w:rPr>
      </w:pPr>
      <w:r w:rsidRPr="00835574">
        <w:rPr>
          <w:i/>
          <w:iCs/>
        </w:rPr>
        <w:t>Artículo 22. Los acuerdos por los cuales se disponga la creación o adscripción de fiscalías, vicefiscalías, direcciones, unidades administrativas u operativas y demás áreas administrativas, se publicarán en el Periódico Oficial del Gobierno del Estado.</w:t>
      </w:r>
    </w:p>
    <w:p w14:paraId="41F95A51" w14:textId="77777777" w:rsidR="009919DB" w:rsidRPr="00835574" w:rsidRDefault="009919DB" w:rsidP="009919DB">
      <w:pPr>
        <w:pStyle w:val="Sinespaciado"/>
        <w:jc w:val="both"/>
        <w:rPr>
          <w:i/>
          <w:iCs/>
        </w:rPr>
      </w:pPr>
    </w:p>
    <w:p w14:paraId="160AAF7E" w14:textId="77777777" w:rsidR="009919DB" w:rsidRPr="00835574" w:rsidRDefault="009919DB" w:rsidP="009919DB">
      <w:pPr>
        <w:pStyle w:val="Sinespaciado"/>
        <w:jc w:val="both"/>
        <w:rPr>
          <w:i/>
          <w:iCs/>
        </w:rPr>
      </w:pPr>
      <w:r w:rsidRPr="00835574">
        <w:rPr>
          <w:i/>
          <w:iCs/>
        </w:rPr>
        <w:t xml:space="preserve">Artículo 23. Todos los servidores públicos de la Fiscalía General se regirán por los principios de universalidad, interdependencia, indivisibilidad, pluriculturalidad, progresividad, buena fe, autonomía, certeza, legalidad, objetividad, lealtad, imparcialidad, eficacia, honradez, profesionalismo y respeto a los derechos humanos. </w:t>
      </w:r>
    </w:p>
    <w:p w14:paraId="32FB34FD" w14:textId="77777777" w:rsidR="009919DB" w:rsidRPr="00835574" w:rsidRDefault="009919DB" w:rsidP="009919DB">
      <w:pPr>
        <w:pStyle w:val="Sinespaciado"/>
        <w:jc w:val="both"/>
        <w:rPr>
          <w:i/>
          <w:iCs/>
        </w:rPr>
      </w:pPr>
    </w:p>
    <w:p w14:paraId="6A2C9AEF" w14:textId="77777777" w:rsidR="009919DB" w:rsidRPr="00835574" w:rsidRDefault="009919DB" w:rsidP="009919DB">
      <w:pPr>
        <w:pStyle w:val="Sinespaciado"/>
        <w:jc w:val="both"/>
        <w:rPr>
          <w:i/>
          <w:iCs/>
        </w:rPr>
      </w:pPr>
      <w:r w:rsidRPr="00835574">
        <w:rPr>
          <w:i/>
          <w:iCs/>
        </w:rPr>
        <w:t xml:space="preserve">Artículo 88. La Fiscalía General elaborará su proyecto de Presupuesto Anual de Egresos, el cual será enviado al Congreso del Estado de Oaxaca para su incorporación al Presupuesto de Egresos de cada ejercicio fiscal. </w:t>
      </w:r>
    </w:p>
    <w:p w14:paraId="4C40B889" w14:textId="77777777" w:rsidR="009919DB" w:rsidRPr="00835574" w:rsidRDefault="009919DB" w:rsidP="009919DB">
      <w:pPr>
        <w:pStyle w:val="Sinespaciado"/>
        <w:jc w:val="both"/>
        <w:rPr>
          <w:i/>
          <w:iCs/>
        </w:rPr>
      </w:pPr>
    </w:p>
    <w:p w14:paraId="69F44751" w14:textId="77777777" w:rsidR="009919DB" w:rsidRPr="00835574" w:rsidRDefault="009919DB" w:rsidP="009919DB">
      <w:pPr>
        <w:pStyle w:val="Sinespaciado"/>
        <w:jc w:val="both"/>
        <w:rPr>
          <w:i/>
          <w:iCs/>
        </w:rPr>
      </w:pPr>
      <w:r w:rsidRPr="00835574">
        <w:rPr>
          <w:i/>
          <w:iCs/>
        </w:rPr>
        <w:t xml:space="preserve">Artículo 89. El ejercicio del presupuesto de la Fiscalía General se ejercerá en términos de la Ley Estatal de Presupuesto y Responsabilidad Hacendaria y demás disposiciones aplicables. </w:t>
      </w:r>
    </w:p>
    <w:p w14:paraId="5B60EFAD" w14:textId="77777777" w:rsidR="009919DB" w:rsidRPr="00835574" w:rsidRDefault="009919DB" w:rsidP="009919DB">
      <w:pPr>
        <w:pStyle w:val="Sinespaciado"/>
        <w:jc w:val="both"/>
        <w:rPr>
          <w:i/>
          <w:iCs/>
        </w:rPr>
      </w:pPr>
    </w:p>
    <w:p w14:paraId="30D7A65A" w14:textId="77777777" w:rsidR="009919DB" w:rsidRPr="00835574" w:rsidRDefault="009919DB" w:rsidP="009919DB">
      <w:pPr>
        <w:pStyle w:val="Sinespaciado"/>
        <w:jc w:val="both"/>
        <w:rPr>
          <w:i/>
          <w:iCs/>
        </w:rPr>
      </w:pPr>
      <w:r w:rsidRPr="00835574">
        <w:rPr>
          <w:i/>
          <w:iCs/>
        </w:rPr>
        <w:t>Artículo 90. El presupuesto de la Fiscalía General será utilizado para gasto corriente, proyectos de inversión, adquisición de bienes, servicios e inmuebles, así como en los demás fines que sean necesarios para el adecuado ejercicio de sus atribuciones, facultades y funciones.</w:t>
      </w:r>
    </w:p>
    <w:p w14:paraId="425F0F95" w14:textId="77777777" w:rsidR="009919DB" w:rsidRPr="00835574" w:rsidRDefault="009919DB" w:rsidP="009919DB">
      <w:pPr>
        <w:pStyle w:val="Sinespaciado"/>
        <w:jc w:val="both"/>
        <w:rPr>
          <w:b/>
          <w:bCs/>
          <w:i/>
          <w:iCs/>
        </w:rPr>
      </w:pPr>
      <w:bookmarkStart w:id="10" w:name="_Toc101434582"/>
      <w:r w:rsidRPr="00835574">
        <w:rPr>
          <w:b/>
          <w:bCs/>
          <w:i/>
          <w:iCs/>
        </w:rPr>
        <w:lastRenderedPageBreak/>
        <w:t>OBJETIVOS GENERALES.</w:t>
      </w:r>
      <w:bookmarkEnd w:id="10"/>
    </w:p>
    <w:p w14:paraId="53E5AE4E" w14:textId="77777777" w:rsidR="009919DB" w:rsidRPr="00835574" w:rsidRDefault="009919DB" w:rsidP="009919DB">
      <w:pPr>
        <w:pStyle w:val="Sinespaciado"/>
        <w:jc w:val="both"/>
        <w:rPr>
          <w:i/>
          <w:iCs/>
        </w:rPr>
      </w:pPr>
    </w:p>
    <w:p w14:paraId="2D5CC4BF" w14:textId="77777777" w:rsidR="009919DB" w:rsidRPr="00835574" w:rsidRDefault="009919DB" w:rsidP="009919DB">
      <w:pPr>
        <w:pStyle w:val="Sinespaciado"/>
        <w:jc w:val="both"/>
        <w:rPr>
          <w:b/>
          <w:bCs/>
          <w:i/>
          <w:iCs/>
        </w:rPr>
      </w:pPr>
      <w:bookmarkStart w:id="11" w:name="_Toc101434583"/>
      <w:r w:rsidRPr="00835574">
        <w:rPr>
          <w:b/>
          <w:bCs/>
          <w:i/>
          <w:iCs/>
        </w:rPr>
        <w:t>De la Fiscalía General</w:t>
      </w:r>
      <w:bookmarkEnd w:id="11"/>
    </w:p>
    <w:p w14:paraId="5AF4A821" w14:textId="77777777" w:rsidR="009919DB" w:rsidRPr="00835574" w:rsidRDefault="009919DB" w:rsidP="009919DB">
      <w:pPr>
        <w:pStyle w:val="Sinespaciado"/>
        <w:jc w:val="both"/>
        <w:rPr>
          <w:i/>
          <w:iCs/>
        </w:rPr>
      </w:pPr>
    </w:p>
    <w:p w14:paraId="76E2E489" w14:textId="77777777" w:rsidR="009919DB" w:rsidRPr="00835574" w:rsidRDefault="009919DB" w:rsidP="009919DB">
      <w:pPr>
        <w:pStyle w:val="Sinespaciado"/>
        <w:jc w:val="both"/>
        <w:rPr>
          <w:i/>
          <w:iCs/>
        </w:rPr>
      </w:pPr>
      <w:r w:rsidRPr="00835574">
        <w:rPr>
          <w:i/>
          <w:iCs/>
        </w:rPr>
        <w:t>Brindar una procuración de justicia pronta, completa, eficaz, imparcial, gratuita y de confianza; combatiendo el delito y la impunidad para mantener la paz social.</w:t>
      </w:r>
    </w:p>
    <w:p w14:paraId="796640D8" w14:textId="77777777" w:rsidR="009919DB" w:rsidRPr="00835574" w:rsidRDefault="009919DB" w:rsidP="009919DB">
      <w:pPr>
        <w:pStyle w:val="Sinespaciado"/>
        <w:jc w:val="both"/>
        <w:rPr>
          <w:b/>
          <w:bCs/>
          <w:i/>
          <w:iCs/>
        </w:rPr>
      </w:pPr>
    </w:p>
    <w:p w14:paraId="62D2A005" w14:textId="77777777" w:rsidR="009919DB" w:rsidRPr="00835574" w:rsidRDefault="009919DB" w:rsidP="009919DB">
      <w:pPr>
        <w:pStyle w:val="Sinespaciado"/>
        <w:jc w:val="both"/>
        <w:rPr>
          <w:b/>
          <w:bCs/>
          <w:i/>
          <w:iCs/>
        </w:rPr>
      </w:pPr>
      <w:bookmarkStart w:id="12" w:name="_Toc101434584"/>
      <w:r w:rsidRPr="00835574">
        <w:rPr>
          <w:b/>
          <w:bCs/>
          <w:i/>
          <w:iCs/>
        </w:rPr>
        <w:t>De las Políticas de Gasto</w:t>
      </w:r>
      <w:bookmarkEnd w:id="12"/>
    </w:p>
    <w:p w14:paraId="4551BBE7" w14:textId="77777777" w:rsidR="009919DB" w:rsidRPr="00835574" w:rsidRDefault="009919DB" w:rsidP="009919DB">
      <w:pPr>
        <w:pStyle w:val="Sinespaciado"/>
        <w:jc w:val="both"/>
        <w:rPr>
          <w:i/>
          <w:iCs/>
        </w:rPr>
      </w:pPr>
    </w:p>
    <w:p w14:paraId="6BA26FD2" w14:textId="77777777" w:rsidR="009919DB" w:rsidRPr="00835574" w:rsidRDefault="009919DB" w:rsidP="009919DB">
      <w:pPr>
        <w:pStyle w:val="Sinespaciado"/>
        <w:jc w:val="both"/>
        <w:rPr>
          <w:i/>
          <w:iCs/>
        </w:rPr>
      </w:pPr>
      <w:r w:rsidRPr="00835574">
        <w:rPr>
          <w:i/>
          <w:iCs/>
        </w:rPr>
        <w:t>Administrar los recursos públicos con austeridad, planeación, eficiencia, eficacia, economía, transparencia y honradez para satisfacer los objetivos a los que estén destinados.</w:t>
      </w:r>
    </w:p>
    <w:p w14:paraId="51A8C280" w14:textId="77777777" w:rsidR="009919DB" w:rsidRPr="00835574" w:rsidRDefault="009919DB" w:rsidP="009919DB">
      <w:pPr>
        <w:pStyle w:val="Sinespaciado"/>
        <w:jc w:val="both"/>
        <w:rPr>
          <w:i/>
          <w:iCs/>
        </w:rPr>
      </w:pPr>
    </w:p>
    <w:p w14:paraId="523A820A" w14:textId="77777777" w:rsidR="009919DB" w:rsidRPr="00835574" w:rsidRDefault="009919DB" w:rsidP="009919DB">
      <w:pPr>
        <w:pStyle w:val="Sinespaciado"/>
        <w:jc w:val="both"/>
        <w:rPr>
          <w:b/>
          <w:bCs/>
          <w:i/>
          <w:iCs/>
        </w:rPr>
      </w:pPr>
      <w:bookmarkStart w:id="13" w:name="_Toc101434585"/>
      <w:r w:rsidRPr="00835574">
        <w:rPr>
          <w:b/>
          <w:bCs/>
          <w:i/>
          <w:iCs/>
        </w:rPr>
        <w:t>OBJETIVOS ANUALES, ESTRATEGIAS Y METAS DEL GASTO PARA EL EJERCICIO FISCAL 2023.</w:t>
      </w:r>
      <w:bookmarkEnd w:id="13"/>
    </w:p>
    <w:p w14:paraId="299B95CC" w14:textId="77777777" w:rsidR="009919DB" w:rsidRPr="00835574" w:rsidRDefault="009919DB" w:rsidP="009919DB">
      <w:pPr>
        <w:pStyle w:val="Sinespaciado"/>
        <w:jc w:val="both"/>
        <w:rPr>
          <w:b/>
          <w:bCs/>
          <w:i/>
          <w:iCs/>
        </w:rPr>
      </w:pPr>
    </w:p>
    <w:p w14:paraId="50CE769E" w14:textId="77777777" w:rsidR="009919DB" w:rsidRPr="00835574" w:rsidRDefault="009919DB" w:rsidP="009919DB">
      <w:pPr>
        <w:pStyle w:val="Sinespaciado"/>
        <w:jc w:val="both"/>
        <w:rPr>
          <w:i/>
          <w:iCs/>
        </w:rPr>
      </w:pPr>
      <w:r w:rsidRPr="00835574">
        <w:rPr>
          <w:i/>
          <w:iCs/>
        </w:rPr>
        <w:t>Es necesario que de manera adicional al gasto corriente se considere un rubro para garantizar la seguridad e integridad del personal para el adecuado desempeño de sus funciones, para ello se establecen los siguientes objetivos, estrategias y metas:</w:t>
      </w:r>
    </w:p>
    <w:p w14:paraId="1BA97E7E" w14:textId="77777777" w:rsidR="009919DB" w:rsidRPr="00835574" w:rsidRDefault="009919DB" w:rsidP="009919DB">
      <w:pPr>
        <w:pStyle w:val="Sinespaciado"/>
        <w:jc w:val="both"/>
        <w:rPr>
          <w:i/>
          <w:iCs/>
        </w:rPr>
      </w:pPr>
    </w:p>
    <w:p w14:paraId="50665B40" w14:textId="77777777" w:rsidR="009919DB" w:rsidRPr="00835574" w:rsidRDefault="009919DB">
      <w:pPr>
        <w:pStyle w:val="Sinespaciado"/>
        <w:numPr>
          <w:ilvl w:val="0"/>
          <w:numId w:val="30"/>
        </w:numPr>
        <w:jc w:val="both"/>
        <w:rPr>
          <w:b/>
          <w:bCs/>
          <w:i/>
          <w:iCs/>
        </w:rPr>
      </w:pPr>
      <w:r w:rsidRPr="00835574">
        <w:rPr>
          <w:b/>
          <w:bCs/>
          <w:i/>
          <w:iCs/>
        </w:rPr>
        <w:t>Consolidar el sistema de justicia penal adversarial en materia de procuración de justicia que promueva la reducción de los índices delictivos.</w:t>
      </w:r>
    </w:p>
    <w:p w14:paraId="01C777ED" w14:textId="77777777" w:rsidR="009919DB" w:rsidRPr="00835574" w:rsidRDefault="009919DB" w:rsidP="009919DB">
      <w:pPr>
        <w:pStyle w:val="Sinespaciado"/>
        <w:jc w:val="both"/>
        <w:rPr>
          <w:b/>
          <w:bCs/>
          <w:i/>
          <w:iCs/>
        </w:rPr>
      </w:pPr>
    </w:p>
    <w:p w14:paraId="5C50721F" w14:textId="77777777" w:rsidR="009919DB" w:rsidRPr="00835574" w:rsidRDefault="009919DB" w:rsidP="009919DB">
      <w:pPr>
        <w:pStyle w:val="Sinespaciado"/>
        <w:jc w:val="both"/>
        <w:rPr>
          <w:i/>
          <w:iCs/>
        </w:rPr>
      </w:pPr>
      <w:r w:rsidRPr="00835574">
        <w:rPr>
          <w:b/>
          <w:bCs/>
          <w:i/>
          <w:iCs/>
        </w:rPr>
        <w:t>Objetivo:</w:t>
      </w:r>
      <w:r w:rsidRPr="00835574">
        <w:rPr>
          <w:i/>
          <w:iCs/>
        </w:rPr>
        <w:t xml:space="preserve"> Reducir los índices delictivos y garantizar los procedimientos penales en la investigación e integración de los probables hechos constitutivos de delito.</w:t>
      </w:r>
    </w:p>
    <w:p w14:paraId="153703DB" w14:textId="77777777" w:rsidR="009919DB" w:rsidRPr="00835574" w:rsidRDefault="009919DB" w:rsidP="009919DB">
      <w:pPr>
        <w:pStyle w:val="Sinespaciado"/>
        <w:jc w:val="both"/>
        <w:rPr>
          <w:i/>
          <w:iCs/>
        </w:rPr>
      </w:pPr>
    </w:p>
    <w:p w14:paraId="7A9BA4F3" w14:textId="77777777" w:rsidR="009919DB" w:rsidRPr="00835574" w:rsidRDefault="009919DB" w:rsidP="009919DB">
      <w:pPr>
        <w:pStyle w:val="Sinespaciado"/>
        <w:jc w:val="both"/>
        <w:rPr>
          <w:i/>
          <w:iCs/>
        </w:rPr>
      </w:pPr>
      <w:r w:rsidRPr="00835574">
        <w:rPr>
          <w:b/>
          <w:bCs/>
          <w:i/>
          <w:iCs/>
        </w:rPr>
        <w:t>Estrategia:</w:t>
      </w:r>
      <w:r w:rsidRPr="00835574">
        <w:rPr>
          <w:i/>
          <w:iCs/>
        </w:rPr>
        <w:t xml:space="preserve"> Modernizar y fortalecer las áreas operativas de la institución, así como la profesionalización de los ministerios públicos, peritos y policías de investigación para una eficaz actuación.</w:t>
      </w:r>
    </w:p>
    <w:p w14:paraId="4013E78D" w14:textId="77777777" w:rsidR="009919DB" w:rsidRPr="00835574" w:rsidRDefault="009919DB" w:rsidP="009919DB">
      <w:pPr>
        <w:pStyle w:val="Sinespaciado"/>
        <w:jc w:val="both"/>
        <w:rPr>
          <w:i/>
          <w:iCs/>
        </w:rPr>
      </w:pPr>
    </w:p>
    <w:p w14:paraId="56A6EE01" w14:textId="77777777" w:rsidR="009919DB" w:rsidRPr="00835574" w:rsidRDefault="009919DB" w:rsidP="009919DB">
      <w:pPr>
        <w:pStyle w:val="Sinespaciado"/>
        <w:jc w:val="both"/>
        <w:rPr>
          <w:i/>
          <w:iCs/>
        </w:rPr>
      </w:pPr>
      <w:r w:rsidRPr="00835574">
        <w:rPr>
          <w:b/>
          <w:bCs/>
          <w:i/>
          <w:iCs/>
        </w:rPr>
        <w:t>Meta:</w:t>
      </w:r>
      <w:r w:rsidRPr="00835574">
        <w:rPr>
          <w:i/>
          <w:iCs/>
        </w:rPr>
        <w:t xml:space="preserve"> Establecer mecanismos que permitan la ejecución eficiente de los mandamientos judiciales y ministeriales.</w:t>
      </w:r>
    </w:p>
    <w:p w14:paraId="5D0577C6" w14:textId="77777777" w:rsidR="009919DB" w:rsidRPr="00835574" w:rsidRDefault="009919DB" w:rsidP="009919DB">
      <w:pPr>
        <w:pStyle w:val="Sinespaciado"/>
        <w:jc w:val="both"/>
        <w:rPr>
          <w:i/>
          <w:iCs/>
        </w:rPr>
      </w:pPr>
    </w:p>
    <w:p w14:paraId="35D0D7D9" w14:textId="77777777" w:rsidR="009919DB" w:rsidRPr="00835574" w:rsidRDefault="009919DB">
      <w:pPr>
        <w:pStyle w:val="Sinespaciado"/>
        <w:numPr>
          <w:ilvl w:val="0"/>
          <w:numId w:val="30"/>
        </w:numPr>
        <w:jc w:val="both"/>
        <w:rPr>
          <w:b/>
          <w:bCs/>
          <w:i/>
          <w:iCs/>
        </w:rPr>
      </w:pPr>
      <w:r w:rsidRPr="00835574">
        <w:rPr>
          <w:b/>
          <w:bCs/>
          <w:i/>
          <w:iCs/>
        </w:rPr>
        <w:t xml:space="preserve">Ser más eficientes en la determinación y resolución de casos garantizando con ello el derecho de acceso a la justicia de las víctimas. </w:t>
      </w:r>
    </w:p>
    <w:p w14:paraId="27F56F68" w14:textId="77777777" w:rsidR="009919DB" w:rsidRPr="00835574" w:rsidRDefault="009919DB" w:rsidP="009919DB">
      <w:pPr>
        <w:pStyle w:val="Sinespaciado"/>
        <w:jc w:val="both"/>
        <w:rPr>
          <w:b/>
          <w:bCs/>
          <w:i/>
          <w:iCs/>
        </w:rPr>
      </w:pPr>
    </w:p>
    <w:p w14:paraId="0DBFBEE1" w14:textId="77777777" w:rsidR="009919DB" w:rsidRPr="00835574" w:rsidRDefault="009919DB">
      <w:pPr>
        <w:pStyle w:val="Sinespaciado"/>
        <w:numPr>
          <w:ilvl w:val="0"/>
          <w:numId w:val="31"/>
        </w:numPr>
        <w:jc w:val="both"/>
        <w:rPr>
          <w:i/>
          <w:iCs/>
        </w:rPr>
      </w:pPr>
      <w:r w:rsidRPr="00835574">
        <w:rPr>
          <w:b/>
          <w:bCs/>
          <w:i/>
          <w:iCs/>
        </w:rPr>
        <w:t>Objetivo:</w:t>
      </w:r>
      <w:r w:rsidRPr="00835574">
        <w:rPr>
          <w:i/>
          <w:iCs/>
        </w:rPr>
        <w:t xml:space="preserve"> Fortalecer el órgano creado para el seguimiento oportuno, en materia de procuración de justicia, a los procesos y penas que demanda la sociedad en el combate a la delincuencia.</w:t>
      </w:r>
    </w:p>
    <w:p w14:paraId="100A65E7" w14:textId="77777777" w:rsidR="009919DB" w:rsidRPr="00835574" w:rsidRDefault="009919DB" w:rsidP="009919DB">
      <w:pPr>
        <w:pStyle w:val="Sinespaciado"/>
        <w:jc w:val="both"/>
        <w:rPr>
          <w:i/>
          <w:iCs/>
        </w:rPr>
      </w:pPr>
    </w:p>
    <w:p w14:paraId="79F4102D" w14:textId="77777777" w:rsidR="009919DB" w:rsidRPr="00835574" w:rsidRDefault="009919DB">
      <w:pPr>
        <w:pStyle w:val="Sinespaciado"/>
        <w:numPr>
          <w:ilvl w:val="0"/>
          <w:numId w:val="31"/>
        </w:numPr>
        <w:jc w:val="both"/>
        <w:rPr>
          <w:i/>
          <w:iCs/>
        </w:rPr>
      </w:pPr>
      <w:r w:rsidRPr="00835574">
        <w:rPr>
          <w:b/>
          <w:bCs/>
          <w:i/>
          <w:iCs/>
        </w:rPr>
        <w:t>Estrategia:</w:t>
      </w:r>
      <w:r w:rsidRPr="00835574">
        <w:rPr>
          <w:i/>
          <w:iCs/>
        </w:rPr>
        <w:t xml:space="preserve"> Proporcionar un servicio que permite procesos eficientes e inmediatos a los problemas de procuración de justicia que demanda la sociedad.</w:t>
      </w:r>
    </w:p>
    <w:p w14:paraId="231D9692" w14:textId="77777777" w:rsidR="009919DB" w:rsidRPr="00835574" w:rsidRDefault="009919DB" w:rsidP="009919DB">
      <w:pPr>
        <w:pStyle w:val="Sinespaciado"/>
        <w:jc w:val="both"/>
        <w:rPr>
          <w:i/>
          <w:iCs/>
        </w:rPr>
      </w:pPr>
    </w:p>
    <w:p w14:paraId="41261B35" w14:textId="77777777" w:rsidR="009919DB" w:rsidRPr="00835574" w:rsidRDefault="009919DB">
      <w:pPr>
        <w:pStyle w:val="Sinespaciado"/>
        <w:numPr>
          <w:ilvl w:val="0"/>
          <w:numId w:val="31"/>
        </w:numPr>
        <w:jc w:val="both"/>
        <w:rPr>
          <w:i/>
          <w:iCs/>
        </w:rPr>
      </w:pPr>
      <w:r w:rsidRPr="00835574">
        <w:rPr>
          <w:b/>
          <w:bCs/>
          <w:i/>
          <w:iCs/>
        </w:rPr>
        <w:lastRenderedPageBreak/>
        <w:t>Meta:</w:t>
      </w:r>
      <w:r w:rsidRPr="00835574">
        <w:rPr>
          <w:i/>
          <w:iCs/>
        </w:rPr>
        <w:t xml:space="preserve"> Fortalecer y profesionalizar el trabajo de cada una de las áreas operativas, poniendo especial énfasis en los delitos de alto impacto y la violencia por razón de género.</w:t>
      </w:r>
    </w:p>
    <w:p w14:paraId="6DEE949F" w14:textId="77777777" w:rsidR="009919DB" w:rsidRPr="00835574" w:rsidRDefault="009919DB" w:rsidP="009919DB">
      <w:pPr>
        <w:pStyle w:val="Sinespaciado"/>
        <w:jc w:val="both"/>
        <w:rPr>
          <w:i/>
          <w:iCs/>
        </w:rPr>
      </w:pPr>
    </w:p>
    <w:p w14:paraId="74C885D4" w14:textId="77777777" w:rsidR="009919DB" w:rsidRPr="00835574" w:rsidRDefault="009919DB">
      <w:pPr>
        <w:pStyle w:val="Sinespaciado"/>
        <w:numPr>
          <w:ilvl w:val="0"/>
          <w:numId w:val="30"/>
        </w:numPr>
        <w:jc w:val="both"/>
        <w:rPr>
          <w:b/>
          <w:bCs/>
          <w:i/>
          <w:iCs/>
        </w:rPr>
      </w:pPr>
      <w:r w:rsidRPr="00835574">
        <w:rPr>
          <w:b/>
          <w:bCs/>
          <w:i/>
          <w:iCs/>
        </w:rPr>
        <w:t>Ser un gestor de solución de conflictos y contribuir en materia de procuración de justicia a la paz social.</w:t>
      </w:r>
    </w:p>
    <w:p w14:paraId="4BC30FC6" w14:textId="77777777" w:rsidR="009919DB" w:rsidRPr="00835574" w:rsidRDefault="009919DB" w:rsidP="009919DB">
      <w:pPr>
        <w:pStyle w:val="Sinespaciado"/>
        <w:jc w:val="both"/>
        <w:rPr>
          <w:b/>
          <w:bCs/>
          <w:i/>
          <w:iCs/>
        </w:rPr>
      </w:pPr>
    </w:p>
    <w:p w14:paraId="1540FF37" w14:textId="77777777" w:rsidR="009919DB" w:rsidRPr="00835574" w:rsidRDefault="009919DB">
      <w:pPr>
        <w:pStyle w:val="Sinespaciado"/>
        <w:numPr>
          <w:ilvl w:val="0"/>
          <w:numId w:val="32"/>
        </w:numPr>
        <w:jc w:val="both"/>
        <w:rPr>
          <w:i/>
          <w:iCs/>
        </w:rPr>
      </w:pPr>
      <w:r w:rsidRPr="00835574">
        <w:rPr>
          <w:b/>
          <w:bCs/>
          <w:i/>
          <w:iCs/>
        </w:rPr>
        <w:t>Objetivo:</w:t>
      </w:r>
      <w:r w:rsidRPr="00835574">
        <w:rPr>
          <w:i/>
          <w:iCs/>
        </w:rPr>
        <w:t xml:space="preserve"> Crear una justicia dialógica, tomando como centro la pronta reparación del daño a las víctimas.</w:t>
      </w:r>
    </w:p>
    <w:p w14:paraId="798BA41D" w14:textId="77777777" w:rsidR="009919DB" w:rsidRPr="00835574" w:rsidRDefault="009919DB" w:rsidP="009919DB">
      <w:pPr>
        <w:pStyle w:val="Sinespaciado"/>
        <w:jc w:val="both"/>
        <w:rPr>
          <w:i/>
          <w:iCs/>
        </w:rPr>
      </w:pPr>
    </w:p>
    <w:p w14:paraId="7D23E325" w14:textId="77777777" w:rsidR="009919DB" w:rsidRPr="00835574" w:rsidRDefault="009919DB">
      <w:pPr>
        <w:pStyle w:val="Sinespaciado"/>
        <w:numPr>
          <w:ilvl w:val="0"/>
          <w:numId w:val="32"/>
        </w:numPr>
        <w:jc w:val="both"/>
        <w:rPr>
          <w:i/>
          <w:iCs/>
        </w:rPr>
      </w:pPr>
      <w:r w:rsidRPr="00835574">
        <w:rPr>
          <w:b/>
          <w:bCs/>
          <w:i/>
          <w:iCs/>
        </w:rPr>
        <w:t>Estrategia:</w:t>
      </w:r>
      <w:r w:rsidRPr="00835574">
        <w:rPr>
          <w:i/>
          <w:iCs/>
        </w:rPr>
        <w:t xml:space="preserve"> Reducir los tiempos de investigación y rezago en las carpetas de investigación que se tramiten en las Agencias del Ministerio Público. </w:t>
      </w:r>
    </w:p>
    <w:p w14:paraId="64CDF0F5" w14:textId="77777777" w:rsidR="009919DB" w:rsidRPr="00835574" w:rsidRDefault="009919DB" w:rsidP="009919DB">
      <w:pPr>
        <w:pStyle w:val="Sinespaciado"/>
        <w:jc w:val="both"/>
        <w:rPr>
          <w:i/>
          <w:iCs/>
        </w:rPr>
      </w:pPr>
    </w:p>
    <w:p w14:paraId="4BA1E435" w14:textId="77777777" w:rsidR="009919DB" w:rsidRPr="00835574" w:rsidRDefault="009919DB">
      <w:pPr>
        <w:pStyle w:val="Sinespaciado"/>
        <w:numPr>
          <w:ilvl w:val="0"/>
          <w:numId w:val="32"/>
        </w:numPr>
        <w:jc w:val="both"/>
        <w:rPr>
          <w:i/>
          <w:iCs/>
        </w:rPr>
      </w:pPr>
      <w:r w:rsidRPr="00835574">
        <w:rPr>
          <w:b/>
          <w:bCs/>
          <w:i/>
          <w:iCs/>
        </w:rPr>
        <w:t>Meta:</w:t>
      </w:r>
      <w:r w:rsidRPr="00835574">
        <w:rPr>
          <w:i/>
          <w:iCs/>
        </w:rPr>
        <w:t xml:space="preserve"> Fortalecer a las áreas encargadas promoviendo mecanismos de solución de controversias y una cultura tendiente a informar sobre los beneficios de las terminaciones anticipadas en la investigación y del procedimiento.</w:t>
      </w:r>
    </w:p>
    <w:p w14:paraId="1CBCB31A" w14:textId="77777777" w:rsidR="009919DB" w:rsidRPr="00835574" w:rsidRDefault="009919DB" w:rsidP="009919DB">
      <w:pPr>
        <w:pStyle w:val="Sinespaciado"/>
        <w:jc w:val="both"/>
        <w:rPr>
          <w:i/>
          <w:iCs/>
        </w:rPr>
      </w:pPr>
    </w:p>
    <w:p w14:paraId="0E2FAADD" w14:textId="77777777" w:rsidR="009919DB" w:rsidRPr="00835574" w:rsidRDefault="009919DB">
      <w:pPr>
        <w:pStyle w:val="Sinespaciado"/>
        <w:numPr>
          <w:ilvl w:val="0"/>
          <w:numId w:val="30"/>
        </w:numPr>
        <w:jc w:val="both"/>
        <w:rPr>
          <w:b/>
          <w:bCs/>
          <w:i/>
          <w:iCs/>
        </w:rPr>
      </w:pPr>
      <w:r w:rsidRPr="00835574">
        <w:rPr>
          <w:b/>
          <w:bCs/>
          <w:i/>
          <w:iCs/>
        </w:rPr>
        <w:t>Desarrollo y aplicación del plan para la Inclusión de la perspectiva de género.</w:t>
      </w:r>
    </w:p>
    <w:p w14:paraId="55BA9F86" w14:textId="77777777" w:rsidR="009919DB" w:rsidRPr="00835574" w:rsidRDefault="009919DB" w:rsidP="009919DB">
      <w:pPr>
        <w:pStyle w:val="Sinespaciado"/>
        <w:jc w:val="both"/>
        <w:rPr>
          <w:b/>
          <w:bCs/>
          <w:i/>
          <w:iCs/>
        </w:rPr>
      </w:pPr>
    </w:p>
    <w:p w14:paraId="7386BD34" w14:textId="77777777" w:rsidR="009919DB" w:rsidRPr="00835574" w:rsidRDefault="009919DB">
      <w:pPr>
        <w:pStyle w:val="Sinespaciado"/>
        <w:numPr>
          <w:ilvl w:val="0"/>
          <w:numId w:val="33"/>
        </w:numPr>
        <w:jc w:val="both"/>
        <w:rPr>
          <w:i/>
          <w:iCs/>
        </w:rPr>
      </w:pPr>
      <w:r w:rsidRPr="00835574">
        <w:rPr>
          <w:b/>
          <w:bCs/>
          <w:i/>
          <w:iCs/>
        </w:rPr>
        <w:t>Objetivo:</w:t>
      </w:r>
      <w:r w:rsidRPr="00835574">
        <w:rPr>
          <w:i/>
          <w:iCs/>
        </w:rPr>
        <w:t xml:space="preserve"> Garantizar investigaciones realizadas en perspectiva de género y la resolución de casos.</w:t>
      </w:r>
    </w:p>
    <w:p w14:paraId="131578D1" w14:textId="77777777" w:rsidR="009919DB" w:rsidRPr="00835574" w:rsidRDefault="009919DB" w:rsidP="009919DB">
      <w:pPr>
        <w:pStyle w:val="Sinespaciado"/>
        <w:jc w:val="both"/>
        <w:rPr>
          <w:i/>
          <w:iCs/>
        </w:rPr>
      </w:pPr>
    </w:p>
    <w:p w14:paraId="39C8A665" w14:textId="77777777" w:rsidR="009919DB" w:rsidRPr="00835574" w:rsidRDefault="009919DB">
      <w:pPr>
        <w:pStyle w:val="Sinespaciado"/>
        <w:numPr>
          <w:ilvl w:val="0"/>
          <w:numId w:val="33"/>
        </w:numPr>
        <w:jc w:val="both"/>
        <w:rPr>
          <w:i/>
          <w:iCs/>
        </w:rPr>
      </w:pPr>
      <w:r w:rsidRPr="00835574">
        <w:rPr>
          <w:b/>
          <w:bCs/>
          <w:i/>
          <w:iCs/>
        </w:rPr>
        <w:t>Estrategia:</w:t>
      </w:r>
      <w:r w:rsidRPr="00835574">
        <w:rPr>
          <w:i/>
          <w:iCs/>
        </w:rPr>
        <w:t xml:space="preserve"> Fortalecer y profesionalizar a las áreas en materia de género, y lograr la reducción de delitos cometidos contra las mujeres.</w:t>
      </w:r>
    </w:p>
    <w:p w14:paraId="61A43A92" w14:textId="77777777" w:rsidR="009919DB" w:rsidRPr="00835574" w:rsidRDefault="009919DB" w:rsidP="009919DB">
      <w:pPr>
        <w:pStyle w:val="Sinespaciado"/>
        <w:jc w:val="both"/>
        <w:rPr>
          <w:i/>
          <w:iCs/>
        </w:rPr>
      </w:pPr>
    </w:p>
    <w:p w14:paraId="7467D09F" w14:textId="77777777" w:rsidR="009919DB" w:rsidRPr="00835574" w:rsidRDefault="009919DB">
      <w:pPr>
        <w:pStyle w:val="Sinespaciado"/>
        <w:numPr>
          <w:ilvl w:val="0"/>
          <w:numId w:val="33"/>
        </w:numPr>
        <w:jc w:val="both"/>
        <w:rPr>
          <w:i/>
          <w:iCs/>
        </w:rPr>
      </w:pPr>
      <w:r w:rsidRPr="00835574">
        <w:rPr>
          <w:b/>
          <w:bCs/>
          <w:i/>
          <w:iCs/>
        </w:rPr>
        <w:t>Meta:</w:t>
      </w:r>
      <w:r w:rsidRPr="00835574">
        <w:rPr>
          <w:i/>
          <w:iCs/>
        </w:rPr>
        <w:t xml:space="preserve"> Concretar proyectos en perspectiva de género que impulsen el destino de recursos necesarios para lograr una FGEO fortalecida en perspectiva de género.</w:t>
      </w:r>
    </w:p>
    <w:p w14:paraId="4DBB5EF1" w14:textId="77777777" w:rsidR="009919DB" w:rsidRPr="00835574" w:rsidRDefault="009919DB" w:rsidP="009919DB">
      <w:pPr>
        <w:pStyle w:val="Sinespaciado"/>
        <w:jc w:val="both"/>
        <w:rPr>
          <w:i/>
          <w:iCs/>
        </w:rPr>
      </w:pPr>
    </w:p>
    <w:p w14:paraId="28363512" w14:textId="77777777" w:rsidR="009919DB" w:rsidRPr="00835574" w:rsidRDefault="009919DB">
      <w:pPr>
        <w:pStyle w:val="Sinespaciado"/>
        <w:numPr>
          <w:ilvl w:val="0"/>
          <w:numId w:val="30"/>
        </w:numPr>
        <w:jc w:val="both"/>
        <w:rPr>
          <w:b/>
          <w:bCs/>
          <w:i/>
          <w:iCs/>
        </w:rPr>
      </w:pPr>
      <w:r w:rsidRPr="00835574">
        <w:rPr>
          <w:b/>
          <w:bCs/>
          <w:i/>
          <w:iCs/>
        </w:rPr>
        <w:t>Asegurar la atención a víctimas del delito.</w:t>
      </w:r>
    </w:p>
    <w:p w14:paraId="429EAE22" w14:textId="77777777" w:rsidR="009919DB" w:rsidRPr="00835574" w:rsidRDefault="009919DB" w:rsidP="009919DB">
      <w:pPr>
        <w:pStyle w:val="Sinespaciado"/>
        <w:jc w:val="both"/>
        <w:rPr>
          <w:b/>
          <w:bCs/>
          <w:i/>
          <w:iCs/>
        </w:rPr>
      </w:pPr>
    </w:p>
    <w:p w14:paraId="5C8B29D6" w14:textId="77777777" w:rsidR="009919DB" w:rsidRPr="00835574" w:rsidRDefault="009919DB">
      <w:pPr>
        <w:pStyle w:val="Sinespaciado"/>
        <w:numPr>
          <w:ilvl w:val="0"/>
          <w:numId w:val="34"/>
        </w:numPr>
        <w:jc w:val="both"/>
        <w:rPr>
          <w:i/>
          <w:iCs/>
        </w:rPr>
      </w:pPr>
      <w:r w:rsidRPr="00835574">
        <w:rPr>
          <w:b/>
          <w:bCs/>
          <w:i/>
          <w:iCs/>
        </w:rPr>
        <w:t>Objetivo:</w:t>
      </w:r>
      <w:r w:rsidRPr="00835574">
        <w:rPr>
          <w:i/>
          <w:iCs/>
        </w:rPr>
        <w:t xml:space="preserve"> Atender y proteger a mujeres, niñas, niños y adolescentes víctimas de cualquier tipo de violencia con perspectiva de género.</w:t>
      </w:r>
    </w:p>
    <w:p w14:paraId="61D0EEA0" w14:textId="77777777" w:rsidR="009919DB" w:rsidRPr="00835574" w:rsidRDefault="009919DB" w:rsidP="009919DB">
      <w:pPr>
        <w:pStyle w:val="Sinespaciado"/>
        <w:jc w:val="both"/>
        <w:rPr>
          <w:i/>
          <w:iCs/>
        </w:rPr>
      </w:pPr>
    </w:p>
    <w:p w14:paraId="275F61F1" w14:textId="5C0A9433" w:rsidR="009919DB" w:rsidRPr="00835574" w:rsidRDefault="009919DB">
      <w:pPr>
        <w:pStyle w:val="Sinespaciado"/>
        <w:numPr>
          <w:ilvl w:val="0"/>
          <w:numId w:val="34"/>
        </w:numPr>
        <w:jc w:val="both"/>
        <w:rPr>
          <w:i/>
          <w:iCs/>
        </w:rPr>
      </w:pPr>
      <w:r w:rsidRPr="00835574">
        <w:rPr>
          <w:b/>
          <w:bCs/>
          <w:i/>
          <w:iCs/>
        </w:rPr>
        <w:t>Estrategia:</w:t>
      </w:r>
      <w:r w:rsidRPr="00835574">
        <w:rPr>
          <w:i/>
          <w:iCs/>
        </w:rPr>
        <w:t xml:space="preserve"> Proporcionar servicios de atención integral a las mujeres, niños, niñas</w:t>
      </w:r>
      <w:r w:rsidR="00BA5B8D">
        <w:rPr>
          <w:i/>
          <w:iCs/>
        </w:rPr>
        <w:t xml:space="preserve"> o </w:t>
      </w:r>
      <w:r w:rsidRPr="00835574">
        <w:rPr>
          <w:i/>
          <w:iCs/>
        </w:rPr>
        <w:t>adolescentes víctimas del delito.</w:t>
      </w:r>
    </w:p>
    <w:p w14:paraId="113D3105" w14:textId="77777777" w:rsidR="009919DB" w:rsidRPr="00835574" w:rsidRDefault="009919DB" w:rsidP="009919DB">
      <w:pPr>
        <w:pStyle w:val="Sinespaciado"/>
        <w:jc w:val="both"/>
        <w:rPr>
          <w:i/>
          <w:iCs/>
        </w:rPr>
      </w:pPr>
    </w:p>
    <w:p w14:paraId="738E57D1" w14:textId="77777777" w:rsidR="009919DB" w:rsidRPr="00835574" w:rsidRDefault="009919DB">
      <w:pPr>
        <w:pStyle w:val="Sinespaciado"/>
        <w:numPr>
          <w:ilvl w:val="0"/>
          <w:numId w:val="34"/>
        </w:numPr>
        <w:jc w:val="both"/>
        <w:rPr>
          <w:i/>
          <w:iCs/>
        </w:rPr>
      </w:pPr>
      <w:r w:rsidRPr="00835574">
        <w:rPr>
          <w:b/>
          <w:bCs/>
          <w:i/>
          <w:iCs/>
        </w:rPr>
        <w:t>Meta:</w:t>
      </w:r>
      <w:r w:rsidRPr="00835574">
        <w:rPr>
          <w:i/>
          <w:iCs/>
        </w:rPr>
        <w:t xml:space="preserve"> Integrar a nivel cognoscitivo, emocional y conductual a las mujeres, niños, niñas y adolescentes en la sociedad.</w:t>
      </w:r>
    </w:p>
    <w:p w14:paraId="36CBE64F" w14:textId="77777777" w:rsidR="009919DB" w:rsidRPr="00835574" w:rsidRDefault="009919DB" w:rsidP="009919DB">
      <w:pPr>
        <w:pStyle w:val="Sinespaciado"/>
        <w:jc w:val="both"/>
        <w:rPr>
          <w:i/>
          <w:iCs/>
        </w:rPr>
      </w:pPr>
    </w:p>
    <w:p w14:paraId="474F486E" w14:textId="77777777" w:rsidR="009919DB" w:rsidRPr="00835574" w:rsidRDefault="009919DB">
      <w:pPr>
        <w:pStyle w:val="Sinespaciado"/>
        <w:numPr>
          <w:ilvl w:val="0"/>
          <w:numId w:val="30"/>
        </w:numPr>
        <w:jc w:val="both"/>
        <w:rPr>
          <w:b/>
          <w:bCs/>
          <w:i/>
          <w:iCs/>
        </w:rPr>
      </w:pPr>
      <w:r w:rsidRPr="00835574">
        <w:rPr>
          <w:b/>
          <w:bCs/>
          <w:i/>
          <w:iCs/>
        </w:rPr>
        <w:t>Crear mecanismos que permitan el acceso a la información pública y rendición de cuentas.</w:t>
      </w:r>
    </w:p>
    <w:p w14:paraId="479A74BC" w14:textId="77777777" w:rsidR="009919DB" w:rsidRPr="00835574" w:rsidRDefault="009919DB" w:rsidP="009919DB">
      <w:pPr>
        <w:pStyle w:val="Sinespaciado"/>
        <w:jc w:val="both"/>
        <w:rPr>
          <w:b/>
          <w:bCs/>
          <w:i/>
          <w:iCs/>
        </w:rPr>
      </w:pPr>
    </w:p>
    <w:p w14:paraId="0B7D22CC" w14:textId="77777777" w:rsidR="009919DB" w:rsidRPr="00835574" w:rsidRDefault="009919DB">
      <w:pPr>
        <w:pStyle w:val="Sinespaciado"/>
        <w:numPr>
          <w:ilvl w:val="0"/>
          <w:numId w:val="35"/>
        </w:numPr>
        <w:jc w:val="both"/>
        <w:rPr>
          <w:i/>
          <w:iCs/>
        </w:rPr>
      </w:pPr>
      <w:r w:rsidRPr="00835574">
        <w:rPr>
          <w:b/>
          <w:bCs/>
          <w:i/>
          <w:iCs/>
        </w:rPr>
        <w:t>Objetivo:</w:t>
      </w:r>
      <w:r w:rsidRPr="00835574">
        <w:rPr>
          <w:i/>
          <w:iCs/>
        </w:rPr>
        <w:t xml:space="preserve"> Dar a conocer los servicios que ofrece la FGEO en temas de procuración de justicia, así como el destino y ejecución de los recursos presupuestales.</w:t>
      </w:r>
    </w:p>
    <w:p w14:paraId="5AAC9F0F" w14:textId="77777777" w:rsidR="009919DB" w:rsidRPr="00835574" w:rsidRDefault="009919DB" w:rsidP="009919DB">
      <w:pPr>
        <w:pStyle w:val="Sinespaciado"/>
        <w:jc w:val="both"/>
        <w:rPr>
          <w:i/>
          <w:iCs/>
        </w:rPr>
      </w:pPr>
    </w:p>
    <w:p w14:paraId="2B5EF012" w14:textId="77777777" w:rsidR="009919DB" w:rsidRPr="00835574" w:rsidRDefault="009919DB">
      <w:pPr>
        <w:pStyle w:val="Sinespaciado"/>
        <w:numPr>
          <w:ilvl w:val="0"/>
          <w:numId w:val="35"/>
        </w:numPr>
        <w:jc w:val="both"/>
        <w:rPr>
          <w:i/>
          <w:iCs/>
        </w:rPr>
      </w:pPr>
      <w:r w:rsidRPr="00835574">
        <w:rPr>
          <w:b/>
          <w:bCs/>
          <w:i/>
          <w:iCs/>
        </w:rPr>
        <w:t>Estrategia:</w:t>
      </w:r>
      <w:r w:rsidRPr="00835574">
        <w:rPr>
          <w:i/>
          <w:iCs/>
        </w:rPr>
        <w:t xml:space="preserve"> Adquisición y consolidación de sistemas informáticos, páginas web, líneas telefónicas de denuncia y tener contacto constante con los medios de comunicación.</w:t>
      </w:r>
    </w:p>
    <w:p w14:paraId="742CB269" w14:textId="77777777" w:rsidR="009919DB" w:rsidRPr="00835574" w:rsidRDefault="009919DB" w:rsidP="009919DB">
      <w:pPr>
        <w:pStyle w:val="Sinespaciado"/>
        <w:jc w:val="both"/>
        <w:rPr>
          <w:i/>
          <w:iCs/>
        </w:rPr>
      </w:pPr>
    </w:p>
    <w:p w14:paraId="71C5581C" w14:textId="77777777" w:rsidR="009919DB" w:rsidRPr="00835574" w:rsidRDefault="009919DB">
      <w:pPr>
        <w:pStyle w:val="Sinespaciado"/>
        <w:numPr>
          <w:ilvl w:val="0"/>
          <w:numId w:val="35"/>
        </w:numPr>
        <w:jc w:val="both"/>
        <w:rPr>
          <w:i/>
          <w:iCs/>
        </w:rPr>
      </w:pPr>
      <w:r w:rsidRPr="00835574">
        <w:rPr>
          <w:b/>
          <w:bCs/>
          <w:i/>
          <w:iCs/>
        </w:rPr>
        <w:t>Meta:</w:t>
      </w:r>
      <w:r w:rsidRPr="00835574">
        <w:rPr>
          <w:i/>
          <w:iCs/>
        </w:rPr>
        <w:t xml:space="preserve"> Mantener a la ciudadanía informada sobre las actividades que realiza la FGEO, lo que permitirá confianza y fomentará la cultura de la denuncia.</w:t>
      </w:r>
    </w:p>
    <w:p w14:paraId="3AD20EA7" w14:textId="77777777" w:rsidR="009919DB" w:rsidRPr="00835574" w:rsidRDefault="009919DB" w:rsidP="009919DB">
      <w:pPr>
        <w:pStyle w:val="Sinespaciado"/>
        <w:jc w:val="both"/>
        <w:rPr>
          <w:i/>
          <w:iCs/>
        </w:rPr>
      </w:pPr>
    </w:p>
    <w:p w14:paraId="2788E679" w14:textId="23951E88" w:rsidR="009919DB" w:rsidRPr="00835574" w:rsidRDefault="009919DB">
      <w:pPr>
        <w:pStyle w:val="Sinespaciado"/>
        <w:numPr>
          <w:ilvl w:val="0"/>
          <w:numId w:val="30"/>
        </w:numPr>
        <w:jc w:val="both"/>
        <w:rPr>
          <w:b/>
          <w:bCs/>
          <w:i/>
          <w:iCs/>
        </w:rPr>
      </w:pPr>
      <w:r w:rsidRPr="00835574">
        <w:rPr>
          <w:b/>
          <w:bCs/>
          <w:i/>
          <w:iCs/>
        </w:rPr>
        <w:t>Realizar la debida aplicación de los recursos con los que cuenta la Institución para atender sus necesidades, bajo los principios de legalidad, eficiencia, eficacia, economía, transparencia</w:t>
      </w:r>
      <w:r w:rsidR="00B1028A" w:rsidRPr="00835574">
        <w:rPr>
          <w:b/>
          <w:bCs/>
          <w:i/>
          <w:iCs/>
        </w:rPr>
        <w:t>,</w:t>
      </w:r>
      <w:r w:rsidRPr="00835574">
        <w:rPr>
          <w:b/>
          <w:bCs/>
          <w:i/>
          <w:iCs/>
        </w:rPr>
        <w:t xml:space="preserve"> honradez, racionalidad, austeridad, control, rendición de cuentas y ahorro.</w:t>
      </w:r>
    </w:p>
    <w:p w14:paraId="49FE8693" w14:textId="77777777" w:rsidR="009919DB" w:rsidRPr="00835574" w:rsidRDefault="009919DB" w:rsidP="009919DB">
      <w:pPr>
        <w:pStyle w:val="Sinespaciado"/>
        <w:jc w:val="both"/>
        <w:rPr>
          <w:b/>
          <w:bCs/>
          <w:i/>
          <w:iCs/>
        </w:rPr>
      </w:pPr>
    </w:p>
    <w:p w14:paraId="447D8E58" w14:textId="77777777" w:rsidR="009919DB" w:rsidRPr="00835574" w:rsidRDefault="009919DB">
      <w:pPr>
        <w:pStyle w:val="Sinespaciado"/>
        <w:numPr>
          <w:ilvl w:val="0"/>
          <w:numId w:val="36"/>
        </w:numPr>
        <w:jc w:val="both"/>
        <w:rPr>
          <w:i/>
          <w:iCs/>
        </w:rPr>
      </w:pPr>
      <w:r w:rsidRPr="00835574">
        <w:rPr>
          <w:b/>
          <w:bCs/>
          <w:i/>
          <w:iCs/>
        </w:rPr>
        <w:t>Objetivo:</w:t>
      </w:r>
      <w:r w:rsidRPr="00835574">
        <w:rPr>
          <w:i/>
          <w:iCs/>
        </w:rPr>
        <w:t xml:space="preserve"> Optimizar los recursos destinados en el programa operativo anual y en los proyectos de inversión para el adecuado ejercicio de atribuciones, facultades y funciones de la FGEO.</w:t>
      </w:r>
    </w:p>
    <w:p w14:paraId="1FCA90C0" w14:textId="77777777" w:rsidR="009919DB" w:rsidRPr="00835574" w:rsidRDefault="009919DB" w:rsidP="009919DB">
      <w:pPr>
        <w:pStyle w:val="Sinespaciado"/>
        <w:jc w:val="both"/>
        <w:rPr>
          <w:i/>
          <w:iCs/>
        </w:rPr>
      </w:pPr>
    </w:p>
    <w:p w14:paraId="391FD3DE" w14:textId="77777777" w:rsidR="009919DB" w:rsidRPr="00835574" w:rsidRDefault="009919DB">
      <w:pPr>
        <w:pStyle w:val="Sinespaciado"/>
        <w:numPr>
          <w:ilvl w:val="0"/>
          <w:numId w:val="36"/>
        </w:numPr>
        <w:jc w:val="both"/>
        <w:rPr>
          <w:i/>
          <w:iCs/>
        </w:rPr>
      </w:pPr>
      <w:r w:rsidRPr="00835574">
        <w:rPr>
          <w:b/>
          <w:bCs/>
          <w:i/>
          <w:iCs/>
        </w:rPr>
        <w:t>Estrategia:</w:t>
      </w:r>
      <w:r w:rsidRPr="00835574">
        <w:rPr>
          <w:i/>
          <w:iCs/>
        </w:rPr>
        <w:t xml:space="preserve"> Dotar a las áreas de la FGEO de los recursos necesarios para su funcionamiento, acorde a sus metas y objetivos previamente establecidos.</w:t>
      </w:r>
    </w:p>
    <w:p w14:paraId="150FB561" w14:textId="77777777" w:rsidR="009919DB" w:rsidRPr="00835574" w:rsidRDefault="009919DB" w:rsidP="009919DB">
      <w:pPr>
        <w:pStyle w:val="Sinespaciado"/>
        <w:jc w:val="both"/>
        <w:rPr>
          <w:i/>
          <w:iCs/>
        </w:rPr>
      </w:pPr>
    </w:p>
    <w:p w14:paraId="16AE19E4" w14:textId="77777777" w:rsidR="009919DB" w:rsidRPr="00835574" w:rsidRDefault="009919DB">
      <w:pPr>
        <w:pStyle w:val="Sinespaciado"/>
        <w:numPr>
          <w:ilvl w:val="0"/>
          <w:numId w:val="36"/>
        </w:numPr>
        <w:jc w:val="both"/>
        <w:rPr>
          <w:i/>
          <w:iCs/>
        </w:rPr>
      </w:pPr>
      <w:r w:rsidRPr="00835574">
        <w:rPr>
          <w:b/>
          <w:bCs/>
          <w:i/>
          <w:iCs/>
        </w:rPr>
        <w:t>Meta:</w:t>
      </w:r>
      <w:r w:rsidRPr="00835574">
        <w:rPr>
          <w:i/>
          <w:iCs/>
        </w:rPr>
        <w:t xml:space="preserve"> Eficientar el presupuesto con respecto a los objetivos planteados para el ejercicio 2023.</w:t>
      </w:r>
    </w:p>
    <w:p w14:paraId="3023F687" w14:textId="77777777" w:rsidR="009919DB" w:rsidRPr="00835574" w:rsidRDefault="009919DB" w:rsidP="009919DB">
      <w:pPr>
        <w:pStyle w:val="Sinespaciado"/>
        <w:jc w:val="both"/>
        <w:rPr>
          <w:i/>
          <w:iCs/>
        </w:rPr>
      </w:pPr>
    </w:p>
    <w:p w14:paraId="6EB56372" w14:textId="77777777" w:rsidR="009919DB" w:rsidRPr="00835574" w:rsidRDefault="009919DB">
      <w:pPr>
        <w:pStyle w:val="Sinespaciado"/>
        <w:numPr>
          <w:ilvl w:val="0"/>
          <w:numId w:val="30"/>
        </w:numPr>
        <w:jc w:val="both"/>
        <w:rPr>
          <w:b/>
          <w:bCs/>
          <w:i/>
          <w:iCs/>
        </w:rPr>
      </w:pPr>
      <w:r w:rsidRPr="00835574">
        <w:rPr>
          <w:b/>
          <w:bCs/>
          <w:i/>
          <w:iCs/>
        </w:rPr>
        <w:t>Privilegiar y potenciar la aplicación de recursos federales a través de las Instancias correspondientes.</w:t>
      </w:r>
    </w:p>
    <w:p w14:paraId="3FB4F46A" w14:textId="77777777" w:rsidR="009919DB" w:rsidRPr="00835574" w:rsidRDefault="009919DB" w:rsidP="009919DB">
      <w:pPr>
        <w:pStyle w:val="Sinespaciado"/>
        <w:jc w:val="both"/>
        <w:rPr>
          <w:b/>
          <w:bCs/>
          <w:i/>
          <w:iCs/>
        </w:rPr>
      </w:pPr>
    </w:p>
    <w:p w14:paraId="1C1164D8" w14:textId="77777777" w:rsidR="009919DB" w:rsidRPr="00835574" w:rsidRDefault="009919DB">
      <w:pPr>
        <w:pStyle w:val="Sinespaciado"/>
        <w:numPr>
          <w:ilvl w:val="0"/>
          <w:numId w:val="37"/>
        </w:numPr>
        <w:jc w:val="both"/>
        <w:rPr>
          <w:i/>
          <w:iCs/>
        </w:rPr>
      </w:pPr>
      <w:r w:rsidRPr="00835574">
        <w:rPr>
          <w:b/>
          <w:bCs/>
          <w:i/>
          <w:iCs/>
        </w:rPr>
        <w:t>Objetivo:</w:t>
      </w:r>
      <w:r w:rsidRPr="00835574">
        <w:rPr>
          <w:i/>
          <w:iCs/>
        </w:rPr>
        <w:t xml:space="preserve"> Realizar un análisis mediante proyectos para la inversión hacia programas prioritarios de seguridad nacional.</w:t>
      </w:r>
    </w:p>
    <w:p w14:paraId="6256803E" w14:textId="77777777" w:rsidR="009919DB" w:rsidRPr="00835574" w:rsidRDefault="009919DB" w:rsidP="009919DB">
      <w:pPr>
        <w:pStyle w:val="Sinespaciado"/>
        <w:jc w:val="both"/>
        <w:rPr>
          <w:i/>
          <w:iCs/>
        </w:rPr>
      </w:pPr>
    </w:p>
    <w:p w14:paraId="2B82B932" w14:textId="77777777" w:rsidR="009919DB" w:rsidRPr="00835574" w:rsidRDefault="009919DB">
      <w:pPr>
        <w:pStyle w:val="Sinespaciado"/>
        <w:numPr>
          <w:ilvl w:val="0"/>
          <w:numId w:val="37"/>
        </w:numPr>
        <w:jc w:val="both"/>
        <w:rPr>
          <w:i/>
          <w:iCs/>
        </w:rPr>
      </w:pPr>
      <w:r w:rsidRPr="00835574">
        <w:rPr>
          <w:b/>
          <w:bCs/>
          <w:i/>
          <w:iCs/>
        </w:rPr>
        <w:t>Estrategia:</w:t>
      </w:r>
      <w:r w:rsidRPr="00835574">
        <w:rPr>
          <w:i/>
          <w:iCs/>
        </w:rPr>
        <w:t xml:space="preserve"> Elaborar los expedientes técnicos conforme a las necesidades de los Programas con Prioridad Nacional del Sistema Nacional de Seguridad Pública.</w:t>
      </w:r>
    </w:p>
    <w:p w14:paraId="51077181" w14:textId="77777777" w:rsidR="009919DB" w:rsidRPr="00835574" w:rsidRDefault="009919DB" w:rsidP="009919DB">
      <w:pPr>
        <w:pStyle w:val="Sinespaciado"/>
        <w:jc w:val="both"/>
        <w:rPr>
          <w:i/>
          <w:iCs/>
        </w:rPr>
      </w:pPr>
    </w:p>
    <w:p w14:paraId="259A4080" w14:textId="77777777" w:rsidR="009919DB" w:rsidRPr="00835574" w:rsidRDefault="009919DB">
      <w:pPr>
        <w:pStyle w:val="Sinespaciado"/>
        <w:numPr>
          <w:ilvl w:val="0"/>
          <w:numId w:val="37"/>
        </w:numPr>
        <w:jc w:val="both"/>
        <w:rPr>
          <w:i/>
          <w:iCs/>
        </w:rPr>
      </w:pPr>
      <w:r w:rsidRPr="00835574">
        <w:rPr>
          <w:b/>
          <w:bCs/>
          <w:i/>
          <w:iCs/>
        </w:rPr>
        <w:t>Meta:</w:t>
      </w:r>
      <w:r w:rsidRPr="00835574">
        <w:rPr>
          <w:i/>
          <w:iCs/>
        </w:rPr>
        <w:t xml:space="preserve"> Proyectar programas para la obtención de recursos de programas federales y verificar su debida ejecución en el ejercicio 2023.</w:t>
      </w:r>
    </w:p>
    <w:p w14:paraId="29A931CA" w14:textId="77777777" w:rsidR="009919DB" w:rsidRPr="00835574" w:rsidRDefault="009919DB" w:rsidP="009919DB">
      <w:pPr>
        <w:pStyle w:val="Sinespaciado"/>
        <w:jc w:val="both"/>
        <w:rPr>
          <w:i/>
          <w:iCs/>
        </w:rPr>
      </w:pPr>
    </w:p>
    <w:p w14:paraId="5AE7CA34" w14:textId="77777777" w:rsidR="009919DB" w:rsidRPr="00835574" w:rsidRDefault="009919DB">
      <w:pPr>
        <w:pStyle w:val="Sinespaciado"/>
        <w:numPr>
          <w:ilvl w:val="0"/>
          <w:numId w:val="30"/>
        </w:numPr>
        <w:jc w:val="both"/>
        <w:rPr>
          <w:b/>
          <w:bCs/>
          <w:i/>
          <w:iCs/>
        </w:rPr>
      </w:pPr>
      <w:r w:rsidRPr="00835574">
        <w:rPr>
          <w:b/>
          <w:bCs/>
          <w:i/>
          <w:iCs/>
        </w:rPr>
        <w:t>Consolidar las áreas administrativas de la Fiscalía General del Estado de Oaxaca.</w:t>
      </w:r>
    </w:p>
    <w:p w14:paraId="09451319" w14:textId="77777777" w:rsidR="009919DB" w:rsidRPr="00835574" w:rsidRDefault="009919DB" w:rsidP="009919DB">
      <w:pPr>
        <w:pStyle w:val="Sinespaciado"/>
        <w:jc w:val="both"/>
        <w:rPr>
          <w:b/>
          <w:bCs/>
          <w:i/>
          <w:iCs/>
        </w:rPr>
      </w:pPr>
    </w:p>
    <w:p w14:paraId="39FA5044" w14:textId="77777777" w:rsidR="009919DB" w:rsidRPr="00835574" w:rsidRDefault="009919DB">
      <w:pPr>
        <w:pStyle w:val="Sinespaciado"/>
        <w:numPr>
          <w:ilvl w:val="0"/>
          <w:numId w:val="38"/>
        </w:numPr>
        <w:jc w:val="both"/>
        <w:rPr>
          <w:i/>
          <w:iCs/>
        </w:rPr>
      </w:pPr>
      <w:r w:rsidRPr="00835574">
        <w:rPr>
          <w:b/>
          <w:bCs/>
          <w:i/>
          <w:iCs/>
        </w:rPr>
        <w:t>Objetivo:</w:t>
      </w:r>
      <w:r w:rsidRPr="00835574">
        <w:rPr>
          <w:i/>
          <w:iCs/>
        </w:rPr>
        <w:t xml:space="preserve"> Fortalecer las unidades administrativas para la correcta ejecución de los recursos como órgano autónomo.</w:t>
      </w:r>
    </w:p>
    <w:p w14:paraId="52E624A8" w14:textId="77777777" w:rsidR="009919DB" w:rsidRPr="00835574" w:rsidRDefault="009919DB" w:rsidP="009919DB">
      <w:pPr>
        <w:pStyle w:val="Sinespaciado"/>
        <w:jc w:val="both"/>
        <w:rPr>
          <w:i/>
          <w:iCs/>
        </w:rPr>
      </w:pPr>
    </w:p>
    <w:p w14:paraId="621926B5" w14:textId="77777777" w:rsidR="009919DB" w:rsidRPr="00835574" w:rsidRDefault="009919DB">
      <w:pPr>
        <w:pStyle w:val="Sinespaciado"/>
        <w:numPr>
          <w:ilvl w:val="0"/>
          <w:numId w:val="38"/>
        </w:numPr>
        <w:jc w:val="both"/>
        <w:rPr>
          <w:i/>
          <w:iCs/>
        </w:rPr>
      </w:pPr>
      <w:r w:rsidRPr="00835574">
        <w:rPr>
          <w:b/>
          <w:bCs/>
          <w:i/>
          <w:iCs/>
        </w:rPr>
        <w:t>Estrategia:</w:t>
      </w:r>
      <w:r w:rsidRPr="00835574">
        <w:rPr>
          <w:i/>
          <w:iCs/>
        </w:rPr>
        <w:t xml:space="preserve"> Establecer mecanismos que permitan la ejecución eficiente de los sistemas electrónicos, así como personal capacitado para la correcta aplicación de recursos.</w:t>
      </w:r>
    </w:p>
    <w:p w14:paraId="79EEDA3F" w14:textId="77777777" w:rsidR="009919DB" w:rsidRPr="00835574" w:rsidRDefault="009919DB" w:rsidP="009919DB">
      <w:pPr>
        <w:pStyle w:val="Sinespaciado"/>
        <w:jc w:val="both"/>
        <w:rPr>
          <w:i/>
          <w:iCs/>
        </w:rPr>
      </w:pPr>
    </w:p>
    <w:p w14:paraId="5B37A3B0" w14:textId="77777777" w:rsidR="009919DB" w:rsidRPr="00835574" w:rsidRDefault="009919DB">
      <w:pPr>
        <w:pStyle w:val="Sinespaciado"/>
        <w:numPr>
          <w:ilvl w:val="0"/>
          <w:numId w:val="38"/>
        </w:numPr>
        <w:jc w:val="both"/>
        <w:rPr>
          <w:i/>
          <w:iCs/>
        </w:rPr>
      </w:pPr>
      <w:r w:rsidRPr="00835574">
        <w:rPr>
          <w:b/>
          <w:bCs/>
          <w:i/>
          <w:iCs/>
        </w:rPr>
        <w:t>Meta:</w:t>
      </w:r>
      <w:r w:rsidRPr="00835574">
        <w:rPr>
          <w:i/>
          <w:iCs/>
        </w:rPr>
        <w:t xml:space="preserve"> Garantizar el presupuesto adecuado para la óptima funcionalidad de la FGEO.</w:t>
      </w:r>
    </w:p>
    <w:p w14:paraId="1B4AC3EE" w14:textId="77777777" w:rsidR="009919DB" w:rsidRPr="00835574" w:rsidRDefault="009919DB">
      <w:pPr>
        <w:pStyle w:val="Sinespaciado"/>
        <w:numPr>
          <w:ilvl w:val="0"/>
          <w:numId w:val="30"/>
        </w:numPr>
        <w:jc w:val="both"/>
        <w:rPr>
          <w:b/>
          <w:bCs/>
          <w:i/>
          <w:iCs/>
        </w:rPr>
      </w:pPr>
      <w:r w:rsidRPr="00835574">
        <w:rPr>
          <w:b/>
          <w:bCs/>
          <w:i/>
          <w:iCs/>
        </w:rPr>
        <w:lastRenderedPageBreak/>
        <w:t>Establecer mecanismos que permitan medir la actuación de los ministerios, peritos y policías.</w:t>
      </w:r>
    </w:p>
    <w:p w14:paraId="1E4B4E91" w14:textId="77777777" w:rsidR="009919DB" w:rsidRPr="00835574" w:rsidRDefault="009919DB" w:rsidP="009919DB">
      <w:pPr>
        <w:pStyle w:val="Sinespaciado"/>
        <w:jc w:val="both"/>
        <w:rPr>
          <w:b/>
          <w:bCs/>
          <w:i/>
          <w:iCs/>
        </w:rPr>
      </w:pPr>
    </w:p>
    <w:p w14:paraId="4A11CC22" w14:textId="77777777" w:rsidR="009919DB" w:rsidRPr="00835574" w:rsidRDefault="009919DB">
      <w:pPr>
        <w:pStyle w:val="Sinespaciado"/>
        <w:numPr>
          <w:ilvl w:val="0"/>
          <w:numId w:val="39"/>
        </w:numPr>
        <w:jc w:val="both"/>
        <w:rPr>
          <w:i/>
          <w:iCs/>
        </w:rPr>
      </w:pPr>
      <w:r w:rsidRPr="00835574">
        <w:rPr>
          <w:b/>
          <w:bCs/>
          <w:i/>
          <w:iCs/>
        </w:rPr>
        <w:t>Objetivo:</w:t>
      </w:r>
      <w:r w:rsidRPr="00835574">
        <w:rPr>
          <w:i/>
          <w:iCs/>
        </w:rPr>
        <w:t xml:space="preserve"> Determinar el nivel de eficiencia de los actores encargados de la investigación y persecución de delitos.</w:t>
      </w:r>
    </w:p>
    <w:p w14:paraId="27D10012" w14:textId="77777777" w:rsidR="009919DB" w:rsidRPr="00835574" w:rsidRDefault="009919DB" w:rsidP="009919DB">
      <w:pPr>
        <w:pStyle w:val="Sinespaciado"/>
        <w:jc w:val="both"/>
        <w:rPr>
          <w:i/>
          <w:iCs/>
        </w:rPr>
      </w:pPr>
    </w:p>
    <w:p w14:paraId="17FC67E4" w14:textId="77777777" w:rsidR="009919DB" w:rsidRPr="00835574" w:rsidRDefault="009919DB">
      <w:pPr>
        <w:pStyle w:val="Sinespaciado"/>
        <w:numPr>
          <w:ilvl w:val="0"/>
          <w:numId w:val="39"/>
        </w:numPr>
        <w:jc w:val="both"/>
        <w:rPr>
          <w:i/>
          <w:iCs/>
        </w:rPr>
      </w:pPr>
      <w:r w:rsidRPr="00835574">
        <w:rPr>
          <w:b/>
          <w:bCs/>
          <w:i/>
          <w:iCs/>
        </w:rPr>
        <w:t>Estrategia:</w:t>
      </w:r>
      <w:r w:rsidRPr="00835574">
        <w:rPr>
          <w:i/>
          <w:iCs/>
        </w:rPr>
        <w:t xml:space="preserve"> Establecer un programa de indicadores para las áreas de la FGEO, respecto de sus metas y objetivos particulares.</w:t>
      </w:r>
    </w:p>
    <w:p w14:paraId="492A55E4" w14:textId="77777777" w:rsidR="009919DB" w:rsidRPr="00835574" w:rsidRDefault="009919DB" w:rsidP="009919DB">
      <w:pPr>
        <w:pStyle w:val="Sinespaciado"/>
        <w:jc w:val="both"/>
        <w:rPr>
          <w:i/>
          <w:iCs/>
        </w:rPr>
      </w:pPr>
    </w:p>
    <w:p w14:paraId="782DF147" w14:textId="77777777" w:rsidR="009919DB" w:rsidRPr="00835574" w:rsidRDefault="009919DB">
      <w:pPr>
        <w:pStyle w:val="Sinespaciado"/>
        <w:numPr>
          <w:ilvl w:val="0"/>
          <w:numId w:val="39"/>
        </w:numPr>
        <w:jc w:val="both"/>
        <w:rPr>
          <w:i/>
          <w:iCs/>
        </w:rPr>
      </w:pPr>
      <w:r w:rsidRPr="00835574">
        <w:rPr>
          <w:b/>
          <w:bCs/>
          <w:i/>
          <w:iCs/>
        </w:rPr>
        <w:t>Meta:</w:t>
      </w:r>
      <w:r w:rsidRPr="00835574">
        <w:rPr>
          <w:i/>
          <w:iCs/>
        </w:rPr>
        <w:t xml:space="preserve"> Elaborar un diagnóstico de evaluación inicial y final de indicadores para toma de futuras decisiones.</w:t>
      </w:r>
    </w:p>
    <w:p w14:paraId="158E2EC0" w14:textId="77777777" w:rsidR="009919DB" w:rsidRPr="00835574" w:rsidRDefault="009919DB" w:rsidP="009919DB">
      <w:pPr>
        <w:pStyle w:val="Sinespaciado"/>
        <w:jc w:val="both"/>
        <w:rPr>
          <w:i/>
          <w:iCs/>
        </w:rPr>
      </w:pPr>
    </w:p>
    <w:p w14:paraId="0AA43C44" w14:textId="77777777" w:rsidR="009919DB" w:rsidRPr="00835574" w:rsidRDefault="009919DB">
      <w:pPr>
        <w:pStyle w:val="Sinespaciado"/>
        <w:numPr>
          <w:ilvl w:val="0"/>
          <w:numId w:val="30"/>
        </w:numPr>
        <w:jc w:val="both"/>
        <w:rPr>
          <w:b/>
          <w:bCs/>
          <w:i/>
          <w:iCs/>
        </w:rPr>
      </w:pPr>
      <w:r w:rsidRPr="00835574">
        <w:rPr>
          <w:b/>
          <w:bCs/>
          <w:i/>
          <w:iCs/>
        </w:rPr>
        <w:t>Desarrollar proyectos de infraestructura y tecnología para consolidar las bases de una policía investigadora, científica y pericial.</w:t>
      </w:r>
    </w:p>
    <w:p w14:paraId="59A8BF3D" w14:textId="77777777" w:rsidR="009919DB" w:rsidRPr="00835574" w:rsidRDefault="009919DB" w:rsidP="009919DB">
      <w:pPr>
        <w:pStyle w:val="Sinespaciado"/>
        <w:jc w:val="both"/>
        <w:rPr>
          <w:b/>
          <w:bCs/>
          <w:i/>
          <w:iCs/>
        </w:rPr>
      </w:pPr>
    </w:p>
    <w:p w14:paraId="39BD6C64" w14:textId="77777777" w:rsidR="009919DB" w:rsidRPr="00835574" w:rsidRDefault="009919DB">
      <w:pPr>
        <w:pStyle w:val="Sinespaciado"/>
        <w:numPr>
          <w:ilvl w:val="0"/>
          <w:numId w:val="40"/>
        </w:numPr>
        <w:jc w:val="both"/>
        <w:rPr>
          <w:i/>
          <w:iCs/>
        </w:rPr>
      </w:pPr>
      <w:r w:rsidRPr="00835574">
        <w:rPr>
          <w:b/>
          <w:bCs/>
          <w:i/>
          <w:iCs/>
        </w:rPr>
        <w:t>Objetivo:</w:t>
      </w:r>
      <w:r w:rsidRPr="00835574">
        <w:rPr>
          <w:i/>
          <w:iCs/>
        </w:rPr>
        <w:t xml:space="preserve"> Mejorar la capacidad operativa de los entes encargados de la investigación y persecución de delitos en el combate a la delincuencia.</w:t>
      </w:r>
    </w:p>
    <w:p w14:paraId="32F3FB04" w14:textId="77777777" w:rsidR="009919DB" w:rsidRPr="00835574" w:rsidRDefault="009919DB" w:rsidP="009919DB">
      <w:pPr>
        <w:pStyle w:val="Sinespaciado"/>
        <w:jc w:val="both"/>
        <w:rPr>
          <w:i/>
          <w:iCs/>
        </w:rPr>
      </w:pPr>
    </w:p>
    <w:p w14:paraId="54F19541" w14:textId="77777777" w:rsidR="009919DB" w:rsidRPr="00835574" w:rsidRDefault="009919DB">
      <w:pPr>
        <w:pStyle w:val="Sinespaciado"/>
        <w:numPr>
          <w:ilvl w:val="0"/>
          <w:numId w:val="40"/>
        </w:numPr>
        <w:jc w:val="both"/>
        <w:rPr>
          <w:i/>
          <w:iCs/>
        </w:rPr>
      </w:pPr>
      <w:r w:rsidRPr="00835574">
        <w:rPr>
          <w:b/>
          <w:bCs/>
          <w:i/>
          <w:iCs/>
        </w:rPr>
        <w:t>Estrategia:</w:t>
      </w:r>
      <w:r w:rsidRPr="00835574">
        <w:rPr>
          <w:i/>
          <w:iCs/>
        </w:rPr>
        <w:t xml:space="preserve"> Impulsar la adquisición de bienes muebles; así como infraestructura para el desempeño de las actividades institucionales.</w:t>
      </w:r>
    </w:p>
    <w:p w14:paraId="52F7BF6B" w14:textId="77777777" w:rsidR="009919DB" w:rsidRPr="00835574" w:rsidRDefault="009919DB" w:rsidP="009919DB">
      <w:pPr>
        <w:pStyle w:val="Sinespaciado"/>
        <w:jc w:val="both"/>
        <w:rPr>
          <w:i/>
          <w:iCs/>
        </w:rPr>
      </w:pPr>
    </w:p>
    <w:p w14:paraId="05775FCA" w14:textId="77777777" w:rsidR="009919DB" w:rsidRPr="00835574" w:rsidRDefault="009919DB" w:rsidP="009919DB">
      <w:pPr>
        <w:pStyle w:val="Sinespaciado"/>
        <w:jc w:val="both"/>
        <w:rPr>
          <w:b/>
          <w:bCs/>
          <w:i/>
          <w:iCs/>
        </w:rPr>
      </w:pPr>
      <w:bookmarkStart w:id="14" w:name="_Toc101434586"/>
      <w:r w:rsidRPr="00835574">
        <w:rPr>
          <w:b/>
          <w:bCs/>
          <w:i/>
          <w:iCs/>
        </w:rPr>
        <w:t>POLÍTICAS DE GASTO</w:t>
      </w:r>
      <w:bookmarkEnd w:id="14"/>
    </w:p>
    <w:p w14:paraId="4FA27BC8" w14:textId="77777777" w:rsidR="009919DB" w:rsidRPr="00835574" w:rsidRDefault="009919DB" w:rsidP="009919DB">
      <w:pPr>
        <w:pStyle w:val="Sinespaciado"/>
        <w:jc w:val="both"/>
        <w:rPr>
          <w:i/>
          <w:iCs/>
        </w:rPr>
      </w:pPr>
    </w:p>
    <w:p w14:paraId="277398BA" w14:textId="77777777" w:rsidR="009919DB" w:rsidRPr="00835574" w:rsidRDefault="009919DB" w:rsidP="009919DB">
      <w:pPr>
        <w:pStyle w:val="Sinespaciado"/>
        <w:jc w:val="both"/>
        <w:rPr>
          <w:i/>
          <w:iCs/>
        </w:rPr>
      </w:pPr>
      <w:bookmarkStart w:id="15" w:name="_Toc101434587"/>
      <w:r w:rsidRPr="00835574">
        <w:rPr>
          <w:i/>
          <w:iCs/>
        </w:rPr>
        <w:t>Autonomía de Gestión</w:t>
      </w:r>
      <w:bookmarkEnd w:id="15"/>
      <w:r w:rsidRPr="00835574">
        <w:rPr>
          <w:i/>
          <w:iCs/>
        </w:rPr>
        <w:t xml:space="preserve"> </w:t>
      </w:r>
    </w:p>
    <w:p w14:paraId="18B6CEB8" w14:textId="77777777" w:rsidR="009919DB" w:rsidRPr="00835574" w:rsidRDefault="009919DB" w:rsidP="009919DB">
      <w:pPr>
        <w:pStyle w:val="Sinespaciado"/>
        <w:jc w:val="both"/>
        <w:rPr>
          <w:i/>
          <w:iCs/>
        </w:rPr>
      </w:pPr>
    </w:p>
    <w:p w14:paraId="382536B2" w14:textId="77777777" w:rsidR="009919DB" w:rsidRPr="00835574" w:rsidRDefault="009919DB" w:rsidP="009919DB">
      <w:pPr>
        <w:pStyle w:val="Sinespaciado"/>
        <w:jc w:val="both"/>
        <w:rPr>
          <w:i/>
          <w:iCs/>
        </w:rPr>
      </w:pPr>
      <w:r w:rsidRPr="00835574">
        <w:rPr>
          <w:i/>
          <w:iCs/>
        </w:rPr>
        <w:t>Fortalecer la capacidad institucional a través de acciones de reglamentación y normatividad interna, así como la modernización, mediante el uso de tecnologías de la información y comunicación.</w:t>
      </w:r>
    </w:p>
    <w:p w14:paraId="06B019F1" w14:textId="77777777" w:rsidR="009919DB" w:rsidRPr="00835574" w:rsidRDefault="009919DB" w:rsidP="009919DB">
      <w:pPr>
        <w:pStyle w:val="Sinespaciado"/>
        <w:jc w:val="both"/>
        <w:rPr>
          <w:i/>
          <w:iCs/>
        </w:rPr>
      </w:pPr>
    </w:p>
    <w:p w14:paraId="2CDFECC6" w14:textId="77777777" w:rsidR="009919DB" w:rsidRPr="00835574" w:rsidRDefault="009919DB" w:rsidP="009919DB">
      <w:pPr>
        <w:pStyle w:val="Sinespaciado"/>
        <w:jc w:val="both"/>
        <w:rPr>
          <w:i/>
          <w:iCs/>
        </w:rPr>
      </w:pPr>
      <w:bookmarkStart w:id="16" w:name="_Toc101434588"/>
      <w:r w:rsidRPr="00835574">
        <w:rPr>
          <w:i/>
          <w:iCs/>
        </w:rPr>
        <w:t>Austeridad Presupuestal.</w:t>
      </w:r>
      <w:bookmarkEnd w:id="16"/>
    </w:p>
    <w:p w14:paraId="258B2094" w14:textId="77777777" w:rsidR="009919DB" w:rsidRPr="00835574" w:rsidRDefault="009919DB" w:rsidP="009919DB">
      <w:pPr>
        <w:pStyle w:val="Sinespaciado"/>
        <w:jc w:val="both"/>
        <w:rPr>
          <w:i/>
          <w:iCs/>
        </w:rPr>
      </w:pPr>
    </w:p>
    <w:p w14:paraId="656D8D87" w14:textId="77777777" w:rsidR="009919DB" w:rsidRPr="00835574" w:rsidRDefault="009919DB" w:rsidP="009919DB">
      <w:pPr>
        <w:pStyle w:val="Sinespaciado"/>
        <w:jc w:val="both"/>
        <w:rPr>
          <w:i/>
          <w:iCs/>
        </w:rPr>
      </w:pPr>
      <w:r w:rsidRPr="00835574">
        <w:rPr>
          <w:i/>
          <w:iCs/>
        </w:rPr>
        <w:t>Se implementará el uso austero y racional de los recursos sin que estos signifiquen el abandono u omisión de las obligaciones y responsabilidades que determina la ley, a través de:</w:t>
      </w:r>
    </w:p>
    <w:p w14:paraId="36DB63FD" w14:textId="77777777" w:rsidR="009919DB" w:rsidRPr="00835574" w:rsidRDefault="009919DB" w:rsidP="009919DB">
      <w:pPr>
        <w:pStyle w:val="Sinespaciado"/>
        <w:jc w:val="both"/>
        <w:rPr>
          <w:i/>
          <w:iCs/>
        </w:rPr>
      </w:pPr>
    </w:p>
    <w:p w14:paraId="1997A2A0" w14:textId="77777777" w:rsidR="009919DB" w:rsidRPr="00835574" w:rsidRDefault="009919DB">
      <w:pPr>
        <w:pStyle w:val="Sinespaciado"/>
        <w:numPr>
          <w:ilvl w:val="0"/>
          <w:numId w:val="41"/>
        </w:numPr>
        <w:jc w:val="both"/>
        <w:rPr>
          <w:i/>
          <w:iCs/>
        </w:rPr>
      </w:pPr>
      <w:r w:rsidRPr="00835574">
        <w:rPr>
          <w:i/>
          <w:iCs/>
        </w:rPr>
        <w:t>Reutilizar el papel que solo tenga impresión por una cara, siempre y cuando no contenga información reservada o confidencial; cada área tendrá un contenedor para depósito y recolección de estos.</w:t>
      </w:r>
    </w:p>
    <w:p w14:paraId="69469310" w14:textId="77777777" w:rsidR="009919DB" w:rsidRPr="00835574" w:rsidRDefault="009919DB" w:rsidP="009919DB">
      <w:pPr>
        <w:pStyle w:val="Sinespaciado"/>
        <w:jc w:val="both"/>
        <w:rPr>
          <w:i/>
          <w:iCs/>
        </w:rPr>
      </w:pPr>
    </w:p>
    <w:p w14:paraId="5384BCD4" w14:textId="77777777" w:rsidR="009919DB" w:rsidRPr="00835574" w:rsidRDefault="009919DB">
      <w:pPr>
        <w:pStyle w:val="Sinespaciado"/>
        <w:numPr>
          <w:ilvl w:val="0"/>
          <w:numId w:val="41"/>
        </w:numPr>
        <w:jc w:val="both"/>
        <w:rPr>
          <w:i/>
          <w:iCs/>
        </w:rPr>
      </w:pPr>
      <w:r w:rsidRPr="00835574">
        <w:rPr>
          <w:i/>
          <w:iCs/>
        </w:rPr>
        <w:t>Optimizar el rendimiento de los cartuchos de impresión: la impresión de documentación al interior será en blanco y negro; la revisión de los documentos será en archivo digital o en impresión de calidad “borrador” y “escalas de grises”; y el volumen grande de impresiones será “doble cara” sin utilizar imágenes tipo “fondo de agua”.</w:t>
      </w:r>
    </w:p>
    <w:p w14:paraId="730820A1" w14:textId="77777777" w:rsidR="009919DB" w:rsidRPr="00835574" w:rsidRDefault="009919DB">
      <w:pPr>
        <w:pStyle w:val="Sinespaciado"/>
        <w:numPr>
          <w:ilvl w:val="0"/>
          <w:numId w:val="41"/>
        </w:numPr>
        <w:jc w:val="both"/>
        <w:rPr>
          <w:i/>
          <w:iCs/>
        </w:rPr>
      </w:pPr>
      <w:r w:rsidRPr="00835574">
        <w:rPr>
          <w:i/>
          <w:iCs/>
        </w:rPr>
        <w:lastRenderedPageBreak/>
        <w:t>Realizar un estudio de mercado eficiente para la adquisición de material oficina, consumibles de cómputo, material de limpieza y demás partidas de gasto corriente que son inherentes para la operatividad de esta Fiscalía.</w:t>
      </w:r>
    </w:p>
    <w:p w14:paraId="19D8B0E2" w14:textId="77777777" w:rsidR="009919DB" w:rsidRPr="00835574" w:rsidRDefault="009919DB" w:rsidP="009919DB">
      <w:pPr>
        <w:pStyle w:val="Sinespaciado"/>
        <w:jc w:val="both"/>
        <w:rPr>
          <w:i/>
          <w:iCs/>
        </w:rPr>
      </w:pPr>
    </w:p>
    <w:p w14:paraId="29069343" w14:textId="77777777" w:rsidR="009919DB" w:rsidRPr="00835574" w:rsidRDefault="009919DB">
      <w:pPr>
        <w:pStyle w:val="Sinespaciado"/>
        <w:numPr>
          <w:ilvl w:val="0"/>
          <w:numId w:val="41"/>
        </w:numPr>
        <w:jc w:val="both"/>
        <w:rPr>
          <w:i/>
          <w:iCs/>
        </w:rPr>
      </w:pPr>
      <w:r w:rsidRPr="00835574">
        <w:rPr>
          <w:i/>
          <w:iCs/>
        </w:rPr>
        <w:t>Adquirir consumibles de equipo de cómputo con base en el número de máquinas en operación, considerando el reciclaje o recarga del material susceptible de hacerlo.</w:t>
      </w:r>
    </w:p>
    <w:p w14:paraId="7C4C3DEA" w14:textId="77777777" w:rsidR="009919DB" w:rsidRPr="00835574" w:rsidRDefault="009919DB" w:rsidP="009919DB">
      <w:pPr>
        <w:pStyle w:val="Sinespaciado"/>
        <w:jc w:val="both"/>
        <w:rPr>
          <w:i/>
          <w:iCs/>
        </w:rPr>
      </w:pPr>
    </w:p>
    <w:p w14:paraId="13F02C47" w14:textId="77777777" w:rsidR="009919DB" w:rsidRPr="00835574" w:rsidRDefault="009919DB">
      <w:pPr>
        <w:pStyle w:val="Sinespaciado"/>
        <w:numPr>
          <w:ilvl w:val="0"/>
          <w:numId w:val="41"/>
        </w:numPr>
        <w:jc w:val="both"/>
        <w:rPr>
          <w:i/>
          <w:iCs/>
        </w:rPr>
      </w:pPr>
      <w:r w:rsidRPr="00835574">
        <w:rPr>
          <w:i/>
          <w:iCs/>
        </w:rPr>
        <w:t>Implementar el correo electrónico y el escaneo digital, para ahorro de hojas, impresión y fotocopiado de documentación.</w:t>
      </w:r>
    </w:p>
    <w:p w14:paraId="7FDF536A" w14:textId="77777777" w:rsidR="009919DB" w:rsidRPr="00835574" w:rsidRDefault="009919DB" w:rsidP="009919DB">
      <w:pPr>
        <w:pStyle w:val="Sinespaciado"/>
        <w:jc w:val="both"/>
        <w:rPr>
          <w:i/>
          <w:iCs/>
        </w:rPr>
      </w:pPr>
    </w:p>
    <w:p w14:paraId="35900F7B" w14:textId="77777777" w:rsidR="009919DB" w:rsidRPr="00835574" w:rsidRDefault="009919DB">
      <w:pPr>
        <w:pStyle w:val="Sinespaciado"/>
        <w:numPr>
          <w:ilvl w:val="0"/>
          <w:numId w:val="41"/>
        </w:numPr>
        <w:jc w:val="both"/>
        <w:rPr>
          <w:i/>
          <w:iCs/>
        </w:rPr>
      </w:pPr>
      <w:r w:rsidRPr="00835574">
        <w:rPr>
          <w:i/>
          <w:iCs/>
        </w:rPr>
        <w:t>Reutilizar al interior de la institución los materiales de oficina como: folders, sobres, hojas, etc.</w:t>
      </w:r>
    </w:p>
    <w:p w14:paraId="72AEB2D4" w14:textId="77777777" w:rsidR="009919DB" w:rsidRPr="00835574" w:rsidRDefault="009919DB" w:rsidP="009919DB">
      <w:pPr>
        <w:pStyle w:val="Sinespaciado"/>
        <w:jc w:val="both"/>
        <w:rPr>
          <w:i/>
          <w:iCs/>
        </w:rPr>
      </w:pPr>
    </w:p>
    <w:p w14:paraId="330F645B" w14:textId="77777777" w:rsidR="009919DB" w:rsidRPr="00835574" w:rsidRDefault="009919DB">
      <w:pPr>
        <w:pStyle w:val="Sinespaciado"/>
        <w:numPr>
          <w:ilvl w:val="0"/>
          <w:numId w:val="41"/>
        </w:numPr>
        <w:jc w:val="both"/>
        <w:rPr>
          <w:i/>
          <w:iCs/>
        </w:rPr>
      </w:pPr>
      <w:r w:rsidRPr="00835574">
        <w:rPr>
          <w:i/>
          <w:iCs/>
        </w:rPr>
        <w:t>Verificar que las luces, aparatos eléctricos y equipo de cómputo se encuentren apagados al terminar la jornada laboral.</w:t>
      </w:r>
    </w:p>
    <w:p w14:paraId="7089BBEA" w14:textId="77777777" w:rsidR="009919DB" w:rsidRPr="00835574" w:rsidRDefault="009919DB" w:rsidP="009919DB">
      <w:pPr>
        <w:pStyle w:val="Sinespaciado"/>
        <w:jc w:val="both"/>
        <w:rPr>
          <w:i/>
          <w:iCs/>
        </w:rPr>
      </w:pPr>
    </w:p>
    <w:p w14:paraId="6EFAFD6F" w14:textId="77777777" w:rsidR="009919DB" w:rsidRPr="00835574" w:rsidRDefault="009919DB">
      <w:pPr>
        <w:pStyle w:val="Sinespaciado"/>
        <w:numPr>
          <w:ilvl w:val="0"/>
          <w:numId w:val="41"/>
        </w:numPr>
        <w:jc w:val="both"/>
        <w:rPr>
          <w:i/>
          <w:iCs/>
        </w:rPr>
      </w:pPr>
      <w:r w:rsidRPr="00835574">
        <w:rPr>
          <w:i/>
          <w:iCs/>
        </w:rPr>
        <w:t>Realizar llamadas telefónicas oficiales, preferentemente a través de la telefonía VoIP de las instalaciones.</w:t>
      </w:r>
    </w:p>
    <w:p w14:paraId="2DD98E3A" w14:textId="77777777" w:rsidR="009919DB" w:rsidRPr="00835574" w:rsidRDefault="009919DB" w:rsidP="009919DB">
      <w:pPr>
        <w:pStyle w:val="Sinespaciado"/>
        <w:jc w:val="both"/>
        <w:rPr>
          <w:i/>
          <w:iCs/>
        </w:rPr>
      </w:pPr>
    </w:p>
    <w:p w14:paraId="0E320723" w14:textId="77777777" w:rsidR="009919DB" w:rsidRPr="00835574" w:rsidRDefault="009919DB">
      <w:pPr>
        <w:pStyle w:val="Sinespaciado"/>
        <w:numPr>
          <w:ilvl w:val="0"/>
          <w:numId w:val="41"/>
        </w:numPr>
        <w:jc w:val="both"/>
        <w:rPr>
          <w:i/>
          <w:iCs/>
        </w:rPr>
      </w:pPr>
      <w:r w:rsidRPr="00835574">
        <w:rPr>
          <w:i/>
          <w:iCs/>
        </w:rPr>
        <w:t>Controlar el consumo de artículos de aseo, papelería y cafetería de uso diario a fin de evitar desperdicios o robos.</w:t>
      </w:r>
    </w:p>
    <w:p w14:paraId="304888CE" w14:textId="77777777" w:rsidR="009919DB" w:rsidRPr="00835574" w:rsidRDefault="009919DB" w:rsidP="009919DB">
      <w:pPr>
        <w:pStyle w:val="Sinespaciado"/>
        <w:jc w:val="both"/>
        <w:rPr>
          <w:i/>
          <w:iCs/>
        </w:rPr>
      </w:pPr>
    </w:p>
    <w:p w14:paraId="69B51E6D" w14:textId="77777777" w:rsidR="009919DB" w:rsidRPr="00835574" w:rsidRDefault="009919DB">
      <w:pPr>
        <w:pStyle w:val="Sinespaciado"/>
        <w:numPr>
          <w:ilvl w:val="0"/>
          <w:numId w:val="41"/>
        </w:numPr>
        <w:jc w:val="both"/>
        <w:rPr>
          <w:i/>
          <w:iCs/>
        </w:rPr>
      </w:pPr>
      <w:r w:rsidRPr="00835574">
        <w:rPr>
          <w:i/>
          <w:iCs/>
        </w:rPr>
        <w:t>Cuidar el consumo de agua potable y revisar periódicamente las instalaciones hidráulicas para evitar fugas.</w:t>
      </w:r>
    </w:p>
    <w:p w14:paraId="645D2266" w14:textId="77777777" w:rsidR="009919DB" w:rsidRPr="00835574" w:rsidRDefault="009919DB" w:rsidP="009919DB">
      <w:pPr>
        <w:pStyle w:val="Sinespaciado"/>
        <w:jc w:val="both"/>
        <w:rPr>
          <w:i/>
          <w:iCs/>
        </w:rPr>
      </w:pPr>
    </w:p>
    <w:p w14:paraId="63FD84FC" w14:textId="77777777" w:rsidR="009919DB" w:rsidRPr="00835574" w:rsidRDefault="009919DB">
      <w:pPr>
        <w:pStyle w:val="Sinespaciado"/>
        <w:numPr>
          <w:ilvl w:val="0"/>
          <w:numId w:val="41"/>
        </w:numPr>
        <w:jc w:val="both"/>
        <w:rPr>
          <w:i/>
          <w:iCs/>
        </w:rPr>
      </w:pPr>
      <w:r w:rsidRPr="00835574">
        <w:rPr>
          <w:i/>
          <w:iCs/>
        </w:rPr>
        <w:t>Utilizar los vehículos estrictamente para tareas oficiales.</w:t>
      </w:r>
    </w:p>
    <w:p w14:paraId="0FE3A0E6" w14:textId="77777777" w:rsidR="009919DB" w:rsidRPr="00835574" w:rsidRDefault="009919DB" w:rsidP="009919DB">
      <w:pPr>
        <w:pStyle w:val="Sinespaciado"/>
        <w:jc w:val="both"/>
        <w:rPr>
          <w:i/>
          <w:iCs/>
        </w:rPr>
      </w:pPr>
    </w:p>
    <w:p w14:paraId="2AA059DE" w14:textId="77777777" w:rsidR="009919DB" w:rsidRPr="00835574" w:rsidRDefault="009919DB">
      <w:pPr>
        <w:pStyle w:val="Sinespaciado"/>
        <w:numPr>
          <w:ilvl w:val="0"/>
          <w:numId w:val="41"/>
        </w:numPr>
        <w:jc w:val="both"/>
        <w:rPr>
          <w:i/>
          <w:iCs/>
        </w:rPr>
      </w:pPr>
      <w:r w:rsidRPr="00835574">
        <w:rPr>
          <w:i/>
          <w:iCs/>
        </w:rPr>
        <w:t>Comisionar al personal estrictamente necesario y por el periodo de tiempo mínimo indispensable.</w:t>
      </w:r>
    </w:p>
    <w:p w14:paraId="64A469F8" w14:textId="77777777" w:rsidR="009919DB" w:rsidRPr="00835574" w:rsidRDefault="009919DB" w:rsidP="009919DB">
      <w:pPr>
        <w:pStyle w:val="Sinespaciado"/>
        <w:jc w:val="both"/>
        <w:rPr>
          <w:i/>
          <w:iCs/>
        </w:rPr>
      </w:pPr>
    </w:p>
    <w:p w14:paraId="12824482" w14:textId="77777777" w:rsidR="009919DB" w:rsidRPr="00835574" w:rsidRDefault="009919DB">
      <w:pPr>
        <w:pStyle w:val="Sinespaciado"/>
        <w:numPr>
          <w:ilvl w:val="0"/>
          <w:numId w:val="41"/>
        </w:numPr>
        <w:jc w:val="both"/>
        <w:rPr>
          <w:i/>
          <w:iCs/>
        </w:rPr>
      </w:pPr>
      <w:r w:rsidRPr="00835574">
        <w:rPr>
          <w:i/>
          <w:iCs/>
        </w:rPr>
        <w:t>Establecer y difundir rutas, así como horarios, para el traslado y entrega de mensajería con el objeto de disminuir gastos.</w:t>
      </w:r>
    </w:p>
    <w:p w14:paraId="2A8AFAE8" w14:textId="77777777" w:rsidR="009919DB" w:rsidRPr="00835574" w:rsidRDefault="009919DB" w:rsidP="009919DB">
      <w:pPr>
        <w:pStyle w:val="Sinespaciado"/>
        <w:jc w:val="both"/>
        <w:rPr>
          <w:i/>
          <w:iCs/>
        </w:rPr>
      </w:pPr>
    </w:p>
    <w:p w14:paraId="30C85B4B" w14:textId="77777777" w:rsidR="009919DB" w:rsidRPr="00835574" w:rsidRDefault="009919DB">
      <w:pPr>
        <w:pStyle w:val="Sinespaciado"/>
        <w:numPr>
          <w:ilvl w:val="0"/>
          <w:numId w:val="41"/>
        </w:numPr>
        <w:jc w:val="both"/>
        <w:rPr>
          <w:i/>
          <w:iCs/>
        </w:rPr>
      </w:pPr>
      <w:r w:rsidRPr="00835574">
        <w:rPr>
          <w:i/>
          <w:iCs/>
        </w:rPr>
        <w:t>Realizar reuniones de trabajo evitando la contratación de espacios externos, cuya utilización tenga un costo, procurando hacer uso de sus instalaciones y, en su caso, pedir en préstamo el espacio de otras Dependencias y Entidades.</w:t>
      </w:r>
    </w:p>
    <w:p w14:paraId="11630AE4" w14:textId="77777777" w:rsidR="009919DB" w:rsidRPr="00835574" w:rsidRDefault="009919DB" w:rsidP="009919DB">
      <w:pPr>
        <w:pStyle w:val="Sinespaciado"/>
        <w:jc w:val="both"/>
        <w:rPr>
          <w:i/>
          <w:iCs/>
        </w:rPr>
      </w:pPr>
    </w:p>
    <w:p w14:paraId="2A5D8BD7" w14:textId="493D2F14" w:rsidR="009919DB" w:rsidRPr="00835574" w:rsidRDefault="009919DB" w:rsidP="009919DB">
      <w:pPr>
        <w:pStyle w:val="Sinespaciado"/>
        <w:jc w:val="both"/>
        <w:rPr>
          <w:i/>
          <w:iCs/>
        </w:rPr>
      </w:pPr>
      <w:bookmarkStart w:id="17" w:name="_Toc101434589"/>
      <w:r w:rsidRPr="00835574">
        <w:rPr>
          <w:i/>
          <w:iCs/>
        </w:rPr>
        <w:t>Optimización del Gasto Público.</w:t>
      </w:r>
      <w:bookmarkEnd w:id="17"/>
    </w:p>
    <w:p w14:paraId="0FB55622" w14:textId="77777777" w:rsidR="00B1028A" w:rsidRPr="00835574" w:rsidRDefault="00B1028A" w:rsidP="009919DB">
      <w:pPr>
        <w:pStyle w:val="Sinespaciado"/>
        <w:jc w:val="both"/>
        <w:rPr>
          <w:i/>
          <w:iCs/>
        </w:rPr>
      </w:pPr>
    </w:p>
    <w:p w14:paraId="61CA706D" w14:textId="77777777" w:rsidR="009919DB" w:rsidRPr="00835574" w:rsidRDefault="009919DB" w:rsidP="009919DB">
      <w:pPr>
        <w:pStyle w:val="Sinespaciado"/>
        <w:jc w:val="both"/>
        <w:rPr>
          <w:i/>
          <w:iCs/>
        </w:rPr>
      </w:pPr>
      <w:r w:rsidRPr="00835574">
        <w:rPr>
          <w:i/>
          <w:iCs/>
        </w:rPr>
        <w:lastRenderedPageBreak/>
        <w:t>Emprender acciones de aprovechamiento de los recursos financieros, humanos, materiales, servicios generales e infraestructura; evitando su uso irracional y maximizando los beneficios en la población oaxaqueña.</w:t>
      </w:r>
    </w:p>
    <w:p w14:paraId="2E47DDB7" w14:textId="77777777" w:rsidR="009919DB" w:rsidRPr="00835574" w:rsidRDefault="009919DB" w:rsidP="009919DB">
      <w:pPr>
        <w:pStyle w:val="Sinespaciado"/>
        <w:jc w:val="both"/>
        <w:rPr>
          <w:i/>
          <w:iCs/>
        </w:rPr>
      </w:pPr>
    </w:p>
    <w:p w14:paraId="16118056" w14:textId="77777777" w:rsidR="009919DB" w:rsidRPr="00835574" w:rsidRDefault="009919DB" w:rsidP="009919DB">
      <w:pPr>
        <w:pStyle w:val="Sinespaciado"/>
        <w:jc w:val="both"/>
        <w:rPr>
          <w:i/>
          <w:iCs/>
        </w:rPr>
      </w:pPr>
      <w:bookmarkStart w:id="18" w:name="_Toc101434590"/>
      <w:r w:rsidRPr="00835574">
        <w:rPr>
          <w:i/>
          <w:iCs/>
        </w:rPr>
        <w:t>Transparencia del Gasto Público.</w:t>
      </w:r>
      <w:bookmarkEnd w:id="18"/>
    </w:p>
    <w:p w14:paraId="38752854" w14:textId="77777777" w:rsidR="009919DB" w:rsidRPr="00835574" w:rsidRDefault="009919DB" w:rsidP="009919DB">
      <w:pPr>
        <w:pStyle w:val="Sinespaciado"/>
        <w:jc w:val="both"/>
        <w:rPr>
          <w:i/>
          <w:iCs/>
        </w:rPr>
      </w:pPr>
    </w:p>
    <w:p w14:paraId="0198E421" w14:textId="77777777" w:rsidR="009919DB" w:rsidRPr="00835574" w:rsidRDefault="009919DB" w:rsidP="009919DB">
      <w:pPr>
        <w:pStyle w:val="Sinespaciado"/>
        <w:jc w:val="both"/>
        <w:rPr>
          <w:i/>
          <w:iCs/>
        </w:rPr>
      </w:pPr>
      <w:r w:rsidRPr="00835574">
        <w:rPr>
          <w:i/>
          <w:iCs/>
        </w:rPr>
        <w:t xml:space="preserve">Transparentar el ejercicio del gasto público a la población en las vías y medios que identifiquen la Ley de Transparencia y Acceso a la Información Pública, con veracidad y oportuno. </w:t>
      </w:r>
    </w:p>
    <w:p w14:paraId="61746FA6" w14:textId="77777777" w:rsidR="009919DB" w:rsidRPr="00835574" w:rsidRDefault="009919DB" w:rsidP="009919DB">
      <w:pPr>
        <w:pStyle w:val="Sinespaciado"/>
        <w:jc w:val="both"/>
        <w:rPr>
          <w:i/>
          <w:iCs/>
        </w:rPr>
      </w:pPr>
    </w:p>
    <w:p w14:paraId="4AEC0CD8" w14:textId="77777777" w:rsidR="009919DB" w:rsidRPr="00835574" w:rsidRDefault="009919DB" w:rsidP="009919DB">
      <w:pPr>
        <w:pStyle w:val="Sinespaciado"/>
        <w:numPr>
          <w:ilvl w:val="0"/>
          <w:numId w:val="4"/>
        </w:numPr>
        <w:jc w:val="both"/>
        <w:rPr>
          <w:b/>
          <w:bCs/>
          <w:i/>
          <w:iCs/>
        </w:rPr>
      </w:pPr>
      <w:r w:rsidRPr="00835574">
        <w:rPr>
          <w:b/>
          <w:bCs/>
          <w:i/>
          <w:iCs/>
        </w:rPr>
        <w:t>TRIBUNAL ELECTORAL DEL ESTADO DE OAXACA</w:t>
      </w:r>
    </w:p>
    <w:p w14:paraId="5CB5A218" w14:textId="77777777" w:rsidR="009919DB" w:rsidRPr="00835574" w:rsidRDefault="009919DB" w:rsidP="009919DB">
      <w:pPr>
        <w:pStyle w:val="Sinespaciado"/>
        <w:jc w:val="both"/>
        <w:rPr>
          <w:b/>
          <w:bCs/>
          <w:i/>
          <w:iCs/>
        </w:rPr>
      </w:pPr>
    </w:p>
    <w:p w14:paraId="3F185493" w14:textId="54092A2F" w:rsidR="009919DB" w:rsidRPr="00835574" w:rsidRDefault="009919DB" w:rsidP="009919DB">
      <w:pPr>
        <w:pStyle w:val="Sinespaciado"/>
        <w:jc w:val="both"/>
        <w:rPr>
          <w:i/>
          <w:iCs/>
        </w:rPr>
      </w:pPr>
      <w:r w:rsidRPr="00835574">
        <w:rPr>
          <w:i/>
          <w:iCs/>
        </w:rPr>
        <w:t xml:space="preserve">El Tribunal Electoral del Estado de Oaxaca es la máxima autoridad jurisdiccional en materia electoral en la Entidad, dotado de personalidad jurídica y patrimonio propio, de carácter permanente, con plena autonomía en su funcionamiento e independiente en sus decisiones, mismo que ejercerá sus recursos con transparencia y honestidad. </w:t>
      </w:r>
    </w:p>
    <w:p w14:paraId="7EA43C57" w14:textId="77777777" w:rsidR="006741E3" w:rsidRPr="00835574" w:rsidRDefault="006741E3" w:rsidP="009919DB">
      <w:pPr>
        <w:pStyle w:val="Sinespaciado"/>
        <w:jc w:val="both"/>
        <w:rPr>
          <w:i/>
          <w:iCs/>
        </w:rPr>
      </w:pPr>
    </w:p>
    <w:p w14:paraId="23716DC9" w14:textId="77777777" w:rsidR="009919DB" w:rsidRPr="00835574" w:rsidRDefault="009919DB" w:rsidP="009919DB">
      <w:pPr>
        <w:pStyle w:val="Sinespaciado"/>
        <w:jc w:val="both"/>
        <w:rPr>
          <w:i/>
          <w:iCs/>
        </w:rPr>
      </w:pPr>
      <w:r w:rsidRPr="00835574">
        <w:rPr>
          <w:i/>
          <w:iCs/>
        </w:rPr>
        <w:t>El Tribunal Electoral del Estado de Oaxaca ha determinado para el ejercicio 2023, cumplir con los siguientes objetivos anuales, estrategias, políticas y metas del gasto:</w:t>
      </w:r>
    </w:p>
    <w:p w14:paraId="3C38F817" w14:textId="77777777" w:rsidR="009919DB" w:rsidRPr="00835574" w:rsidRDefault="009919DB" w:rsidP="009919DB">
      <w:pPr>
        <w:pStyle w:val="Sinespaciado"/>
        <w:jc w:val="both"/>
        <w:rPr>
          <w:b/>
          <w:bCs/>
          <w:i/>
          <w:iCs/>
        </w:rPr>
      </w:pPr>
      <w:r w:rsidRPr="00835574">
        <w:rPr>
          <w:b/>
          <w:bCs/>
          <w:i/>
          <w:iCs/>
        </w:rPr>
        <w:t>Objetivo General</w:t>
      </w:r>
    </w:p>
    <w:p w14:paraId="70925CEC" w14:textId="77777777" w:rsidR="009919DB" w:rsidRPr="00835574" w:rsidRDefault="009919DB" w:rsidP="009919DB">
      <w:pPr>
        <w:pStyle w:val="Sinespaciado"/>
        <w:jc w:val="both"/>
        <w:rPr>
          <w:b/>
          <w:bCs/>
          <w:i/>
          <w:iCs/>
        </w:rPr>
      </w:pPr>
    </w:p>
    <w:p w14:paraId="3A03D062" w14:textId="77777777" w:rsidR="009919DB" w:rsidRPr="00835574" w:rsidRDefault="009919DB" w:rsidP="009919DB">
      <w:pPr>
        <w:pStyle w:val="Sinespaciado"/>
        <w:jc w:val="both"/>
        <w:rPr>
          <w:i/>
          <w:iCs/>
        </w:rPr>
      </w:pPr>
      <w:r w:rsidRPr="00835574">
        <w:rPr>
          <w:i/>
          <w:iCs/>
        </w:rPr>
        <w:t>Cumplir con las funciones y obligaciones encomendadas por mandato Constitucional, para lo cual ejercerá su Presupuesto de Egresos asignado bajo los criterios de legalidad, eficiencia, eficacia, economía, transparencia, honradez, racionalidad, austeridad, control, rendición de cuentas y disciplina presupuestal; garantizando los actos y resoluciones bajo los principios de constitucionalidad y legalidad, así como la protección de los Derechos Político-Electorales de la Ciudadanía Oaxaqueña, actuando como Órgano especializado, autónomo en su funcionamiento e independiente en sus decisiones, en beneficio de una impartición de Justicia profesional, calificada, eficiente, imparcial y transparente.</w:t>
      </w:r>
    </w:p>
    <w:p w14:paraId="3F5E02D0" w14:textId="77777777" w:rsidR="009919DB" w:rsidRPr="00835574" w:rsidRDefault="009919DB" w:rsidP="009919DB">
      <w:pPr>
        <w:pStyle w:val="Sinespaciado"/>
        <w:jc w:val="both"/>
        <w:rPr>
          <w:i/>
          <w:iCs/>
        </w:rPr>
      </w:pPr>
    </w:p>
    <w:p w14:paraId="149EBCC8" w14:textId="77777777" w:rsidR="009919DB" w:rsidRPr="00835574" w:rsidRDefault="009919DB" w:rsidP="009919DB">
      <w:pPr>
        <w:pStyle w:val="Sinespaciado"/>
        <w:jc w:val="both"/>
        <w:rPr>
          <w:b/>
          <w:bCs/>
          <w:i/>
          <w:iCs/>
        </w:rPr>
      </w:pPr>
      <w:r w:rsidRPr="00835574">
        <w:rPr>
          <w:b/>
          <w:bCs/>
          <w:i/>
          <w:iCs/>
        </w:rPr>
        <w:t>Objetivos Específicos</w:t>
      </w:r>
    </w:p>
    <w:p w14:paraId="28BD089E" w14:textId="77777777" w:rsidR="009919DB" w:rsidRPr="00835574" w:rsidRDefault="009919DB" w:rsidP="009919DB">
      <w:pPr>
        <w:pStyle w:val="Sinespaciado"/>
        <w:jc w:val="both"/>
        <w:rPr>
          <w:b/>
          <w:bCs/>
          <w:i/>
          <w:iCs/>
        </w:rPr>
      </w:pPr>
    </w:p>
    <w:p w14:paraId="77006592" w14:textId="77777777" w:rsidR="009919DB" w:rsidRPr="00835574" w:rsidRDefault="009919DB" w:rsidP="009919DB">
      <w:pPr>
        <w:pStyle w:val="Sinespaciado"/>
        <w:jc w:val="both"/>
        <w:rPr>
          <w:i/>
          <w:iCs/>
        </w:rPr>
      </w:pPr>
      <w:r w:rsidRPr="00835574">
        <w:rPr>
          <w:i/>
          <w:iCs/>
        </w:rPr>
        <w:t>Justicia Electoral</w:t>
      </w:r>
    </w:p>
    <w:p w14:paraId="65457983" w14:textId="77777777" w:rsidR="009919DB" w:rsidRPr="00835574" w:rsidRDefault="009919DB" w:rsidP="009919DB">
      <w:pPr>
        <w:pStyle w:val="Sinespaciado"/>
        <w:jc w:val="both"/>
        <w:rPr>
          <w:i/>
          <w:iCs/>
        </w:rPr>
      </w:pPr>
    </w:p>
    <w:p w14:paraId="355390F3" w14:textId="77777777" w:rsidR="009919DB" w:rsidRPr="00835574" w:rsidRDefault="009919DB" w:rsidP="009919DB">
      <w:pPr>
        <w:pStyle w:val="Sinespaciado"/>
        <w:jc w:val="both"/>
        <w:rPr>
          <w:i/>
          <w:iCs/>
        </w:rPr>
      </w:pPr>
      <w:r w:rsidRPr="00835574">
        <w:rPr>
          <w:i/>
          <w:iCs/>
        </w:rPr>
        <w:t>• Impartir Justicia mediante resoluciones sobre asuntos en materia electoral, derivado de impugnaciones interpuestas por Partidos Políticos, Autoridades, Organizaciones y en general por la Ciudadanía Oaxaqueña.</w:t>
      </w:r>
    </w:p>
    <w:p w14:paraId="61EC8581" w14:textId="77777777" w:rsidR="009919DB" w:rsidRPr="00835574" w:rsidRDefault="009919DB" w:rsidP="009919DB">
      <w:pPr>
        <w:pStyle w:val="Sinespaciado"/>
        <w:jc w:val="both"/>
        <w:rPr>
          <w:i/>
          <w:iCs/>
        </w:rPr>
      </w:pPr>
    </w:p>
    <w:p w14:paraId="49CA8DCA" w14:textId="77777777" w:rsidR="009919DB" w:rsidRPr="00835574" w:rsidRDefault="009919DB" w:rsidP="009919DB">
      <w:pPr>
        <w:pStyle w:val="Sinespaciado"/>
        <w:jc w:val="both"/>
        <w:rPr>
          <w:i/>
          <w:iCs/>
        </w:rPr>
      </w:pPr>
      <w:r w:rsidRPr="00835574">
        <w:rPr>
          <w:i/>
          <w:iCs/>
        </w:rPr>
        <w:t>• Atender asuntos del Sistema de Partidos Políticos, así como de Elecciones de Sistemas Normativos Internos.</w:t>
      </w:r>
    </w:p>
    <w:p w14:paraId="7AAE55BF" w14:textId="77777777" w:rsidR="009919DB" w:rsidRPr="00835574" w:rsidRDefault="009919DB" w:rsidP="009919DB">
      <w:pPr>
        <w:pStyle w:val="Sinespaciado"/>
        <w:jc w:val="both"/>
        <w:rPr>
          <w:i/>
          <w:iCs/>
        </w:rPr>
      </w:pPr>
    </w:p>
    <w:p w14:paraId="0D1C78A6" w14:textId="77777777" w:rsidR="009919DB" w:rsidRPr="00835574" w:rsidRDefault="009919DB" w:rsidP="009919DB">
      <w:pPr>
        <w:pStyle w:val="Sinespaciado"/>
        <w:jc w:val="both"/>
        <w:rPr>
          <w:i/>
          <w:iCs/>
        </w:rPr>
      </w:pPr>
      <w:r w:rsidRPr="00835574">
        <w:rPr>
          <w:i/>
          <w:iCs/>
        </w:rPr>
        <w:lastRenderedPageBreak/>
        <w:t>• Resolver los Procedimientos Especiales Sancionadores, Juicios para la Protección de Derechos Político Electorales, así como los Procedimientos Especiales Sancionadores por Violencia Política en Razón de Género.</w:t>
      </w:r>
    </w:p>
    <w:p w14:paraId="184D4050" w14:textId="77777777" w:rsidR="009919DB" w:rsidRPr="00835574" w:rsidRDefault="009919DB" w:rsidP="009919DB">
      <w:pPr>
        <w:pStyle w:val="Sinespaciado"/>
        <w:jc w:val="both"/>
        <w:rPr>
          <w:i/>
          <w:iCs/>
        </w:rPr>
      </w:pPr>
    </w:p>
    <w:p w14:paraId="66A905E4" w14:textId="77777777" w:rsidR="009919DB" w:rsidRPr="00835574" w:rsidRDefault="009919DB" w:rsidP="009919DB">
      <w:pPr>
        <w:pStyle w:val="Sinespaciado"/>
        <w:jc w:val="both"/>
        <w:rPr>
          <w:b/>
          <w:bCs/>
          <w:i/>
          <w:iCs/>
        </w:rPr>
      </w:pPr>
      <w:r w:rsidRPr="00835574">
        <w:rPr>
          <w:b/>
          <w:bCs/>
          <w:i/>
          <w:iCs/>
        </w:rPr>
        <w:t>Planeación y Ejecución Participativa del Presupuesto</w:t>
      </w:r>
    </w:p>
    <w:p w14:paraId="7D53EAF2" w14:textId="77777777" w:rsidR="009919DB" w:rsidRPr="00835574" w:rsidRDefault="009919DB" w:rsidP="009919DB">
      <w:pPr>
        <w:pStyle w:val="Sinespaciado"/>
        <w:jc w:val="both"/>
        <w:rPr>
          <w:b/>
          <w:bCs/>
          <w:i/>
          <w:iCs/>
        </w:rPr>
      </w:pPr>
    </w:p>
    <w:p w14:paraId="17692E11" w14:textId="77777777" w:rsidR="009919DB" w:rsidRPr="00835574" w:rsidRDefault="009919DB" w:rsidP="009919DB">
      <w:pPr>
        <w:pStyle w:val="Sinespaciado"/>
        <w:jc w:val="both"/>
        <w:rPr>
          <w:i/>
          <w:iCs/>
        </w:rPr>
      </w:pPr>
      <w:r w:rsidRPr="00835574">
        <w:rPr>
          <w:i/>
          <w:iCs/>
        </w:rPr>
        <w:t>• Cumplir con sus atribuciones y obligaciones mediante el Programa Operativo Anual 2023, mismo que será aprobado por el Pleno del Tribunal, el cual se formulará a partir de procesos de planeación, programación y presupuestación, considerando la participación de las diversas áreas jurisdiccionales y administrativas que lo conforman, mediante la implementación de nuevas tecnologías de información y comunicación que simplifique, optimice y sistematice sus operaciones judiciales, garantizando un desempeño institucional más eficiente.</w:t>
      </w:r>
    </w:p>
    <w:p w14:paraId="3919083C" w14:textId="77777777" w:rsidR="009919DB" w:rsidRPr="00835574" w:rsidRDefault="009919DB" w:rsidP="009919DB">
      <w:pPr>
        <w:pStyle w:val="Sinespaciado"/>
        <w:jc w:val="both"/>
        <w:rPr>
          <w:i/>
          <w:iCs/>
        </w:rPr>
      </w:pPr>
    </w:p>
    <w:p w14:paraId="105DB945" w14:textId="77777777" w:rsidR="009919DB" w:rsidRPr="00835574" w:rsidRDefault="009919DB" w:rsidP="009919DB">
      <w:pPr>
        <w:pStyle w:val="Sinespaciado"/>
        <w:jc w:val="both"/>
        <w:rPr>
          <w:b/>
          <w:bCs/>
          <w:i/>
          <w:iCs/>
        </w:rPr>
      </w:pPr>
      <w:r w:rsidRPr="00835574">
        <w:rPr>
          <w:b/>
          <w:bCs/>
          <w:i/>
          <w:iCs/>
        </w:rPr>
        <w:t>Formación, Capacitación y Desarrollo de los Recursos Humanos</w:t>
      </w:r>
    </w:p>
    <w:p w14:paraId="76994CE0" w14:textId="77777777" w:rsidR="009919DB" w:rsidRPr="00835574" w:rsidRDefault="009919DB" w:rsidP="009919DB">
      <w:pPr>
        <w:pStyle w:val="Sinespaciado"/>
        <w:jc w:val="both"/>
        <w:rPr>
          <w:b/>
          <w:bCs/>
          <w:i/>
          <w:iCs/>
        </w:rPr>
      </w:pPr>
    </w:p>
    <w:p w14:paraId="72273225" w14:textId="77777777" w:rsidR="009919DB" w:rsidRPr="00835574" w:rsidRDefault="009919DB" w:rsidP="009919DB">
      <w:pPr>
        <w:pStyle w:val="Sinespaciado"/>
        <w:jc w:val="both"/>
        <w:rPr>
          <w:i/>
          <w:iCs/>
        </w:rPr>
      </w:pPr>
      <w:r w:rsidRPr="00835574">
        <w:rPr>
          <w:i/>
          <w:iCs/>
        </w:rPr>
        <w:t>• Promover acciones de formación profesional, actualización en materia electoral y capacitación en diferentes temas que permitan al personal de este Órgano conducirse y desarrollarse con eficiencia, eficacia y efectividad.</w:t>
      </w:r>
    </w:p>
    <w:p w14:paraId="64BBB08C" w14:textId="77777777" w:rsidR="009919DB" w:rsidRPr="00835574" w:rsidRDefault="009919DB" w:rsidP="009919DB">
      <w:pPr>
        <w:pStyle w:val="Sinespaciado"/>
        <w:jc w:val="both"/>
        <w:rPr>
          <w:i/>
          <w:iCs/>
        </w:rPr>
      </w:pPr>
    </w:p>
    <w:p w14:paraId="0F70D57C" w14:textId="77777777" w:rsidR="009919DB" w:rsidRPr="00835574" w:rsidRDefault="009919DB" w:rsidP="009919DB">
      <w:pPr>
        <w:pStyle w:val="Sinespaciado"/>
        <w:jc w:val="both"/>
        <w:rPr>
          <w:i/>
          <w:iCs/>
        </w:rPr>
      </w:pPr>
      <w:r w:rsidRPr="00835574">
        <w:rPr>
          <w:i/>
          <w:iCs/>
        </w:rPr>
        <w:t>• Procurar las mejores condiciones laborales al interior del Tribunal Electoral del Estado de Oaxaca.</w:t>
      </w:r>
    </w:p>
    <w:p w14:paraId="74C0CBEC" w14:textId="77777777" w:rsidR="009919DB" w:rsidRPr="00835574" w:rsidRDefault="009919DB" w:rsidP="009919DB">
      <w:pPr>
        <w:pStyle w:val="Sinespaciado"/>
        <w:jc w:val="both"/>
        <w:rPr>
          <w:i/>
          <w:iCs/>
        </w:rPr>
      </w:pPr>
      <w:r w:rsidRPr="00835574">
        <w:rPr>
          <w:i/>
          <w:iCs/>
        </w:rPr>
        <w:t>• Solventar de manera oportuna las remuneraciones del personal al servicio del Tribunal Electoral del Estado de Oaxaca como son: sueldos y salarios, prestaciones de seguridad social, honorarios asimilables a salarios y otras prestaciones derivadas de la relación laboral, pudiendo ser de carácter permanente o transitorio; además de cumplir con las obligaciones laborales que al efecto procedan.</w:t>
      </w:r>
    </w:p>
    <w:p w14:paraId="235C1898" w14:textId="77777777" w:rsidR="009919DB" w:rsidRPr="00835574" w:rsidRDefault="009919DB" w:rsidP="009919DB">
      <w:pPr>
        <w:pStyle w:val="Sinespaciado"/>
        <w:jc w:val="both"/>
        <w:rPr>
          <w:i/>
          <w:iCs/>
        </w:rPr>
      </w:pPr>
    </w:p>
    <w:p w14:paraId="1F283C70" w14:textId="16B3F9F4" w:rsidR="009919DB" w:rsidRPr="00835574" w:rsidRDefault="009919DB" w:rsidP="009919DB">
      <w:pPr>
        <w:pStyle w:val="Sinespaciado"/>
        <w:jc w:val="both"/>
        <w:rPr>
          <w:b/>
          <w:bCs/>
          <w:i/>
          <w:iCs/>
        </w:rPr>
      </w:pPr>
      <w:r w:rsidRPr="00835574">
        <w:rPr>
          <w:b/>
          <w:bCs/>
          <w:i/>
          <w:iCs/>
        </w:rPr>
        <w:t xml:space="preserve">Transparencia </w:t>
      </w:r>
      <w:r w:rsidR="00857730" w:rsidRPr="00835574">
        <w:rPr>
          <w:b/>
          <w:bCs/>
          <w:i/>
          <w:iCs/>
        </w:rPr>
        <w:t>d</w:t>
      </w:r>
      <w:r w:rsidRPr="00835574">
        <w:rPr>
          <w:b/>
          <w:bCs/>
          <w:i/>
          <w:iCs/>
        </w:rPr>
        <w:t>el Gasto Público</w:t>
      </w:r>
    </w:p>
    <w:p w14:paraId="65A35786" w14:textId="77777777" w:rsidR="009919DB" w:rsidRPr="00835574" w:rsidRDefault="009919DB" w:rsidP="009919DB">
      <w:pPr>
        <w:pStyle w:val="Sinespaciado"/>
        <w:jc w:val="both"/>
        <w:rPr>
          <w:b/>
          <w:bCs/>
          <w:i/>
          <w:iCs/>
        </w:rPr>
      </w:pPr>
    </w:p>
    <w:p w14:paraId="46618A6B" w14:textId="77777777" w:rsidR="009919DB" w:rsidRPr="00835574" w:rsidRDefault="009919DB" w:rsidP="009919DB">
      <w:pPr>
        <w:pStyle w:val="Sinespaciado"/>
        <w:jc w:val="both"/>
        <w:rPr>
          <w:i/>
          <w:iCs/>
        </w:rPr>
      </w:pPr>
      <w:r w:rsidRPr="00835574">
        <w:rPr>
          <w:i/>
          <w:iCs/>
        </w:rPr>
        <w:t>• Transparentar con veracidad y oportunidad el ejercicio del gasto público a la población en las vías y medios que indique la legislación en materia de transparencia y acceso a la información pública.</w:t>
      </w:r>
    </w:p>
    <w:p w14:paraId="27080370" w14:textId="77777777" w:rsidR="009919DB" w:rsidRPr="00835574" w:rsidRDefault="009919DB" w:rsidP="009919DB">
      <w:pPr>
        <w:pStyle w:val="Sinespaciado"/>
        <w:jc w:val="both"/>
        <w:rPr>
          <w:i/>
          <w:iCs/>
        </w:rPr>
      </w:pPr>
    </w:p>
    <w:p w14:paraId="7978ADFC" w14:textId="77777777" w:rsidR="009919DB" w:rsidRPr="00835574" w:rsidRDefault="009919DB" w:rsidP="009919DB">
      <w:pPr>
        <w:pStyle w:val="Sinespaciado"/>
        <w:jc w:val="both"/>
        <w:rPr>
          <w:b/>
          <w:bCs/>
          <w:i/>
          <w:iCs/>
        </w:rPr>
      </w:pPr>
      <w:r w:rsidRPr="00835574">
        <w:rPr>
          <w:b/>
          <w:bCs/>
          <w:i/>
          <w:iCs/>
        </w:rPr>
        <w:t>Estrategias</w:t>
      </w:r>
    </w:p>
    <w:p w14:paraId="25B795A2" w14:textId="77777777" w:rsidR="009919DB" w:rsidRPr="00835574" w:rsidRDefault="009919DB" w:rsidP="009919DB">
      <w:pPr>
        <w:pStyle w:val="Sinespaciado"/>
        <w:jc w:val="both"/>
        <w:rPr>
          <w:b/>
          <w:bCs/>
          <w:i/>
          <w:iCs/>
        </w:rPr>
      </w:pPr>
    </w:p>
    <w:p w14:paraId="0EF42FB6" w14:textId="77777777" w:rsidR="009919DB" w:rsidRPr="00835574" w:rsidRDefault="009919DB" w:rsidP="009919DB">
      <w:pPr>
        <w:pStyle w:val="Sinespaciado"/>
        <w:jc w:val="both"/>
        <w:rPr>
          <w:i/>
          <w:iCs/>
        </w:rPr>
      </w:pPr>
      <w:r w:rsidRPr="00835574">
        <w:rPr>
          <w:i/>
          <w:iCs/>
        </w:rPr>
        <w:t>• Para la aplicación y uso de los recursos recibidos a través del Presupuesto de Egresos, así como la contabilidad y la presentación de la información financiera correspondiente, se realizarán conforme a lo establecido en la Ley Estatal de Presupuesto y Responsabilidad Hacendaria, la Ley General de Contabilidad Gubernamental y en las disposiciones que, en el marco de dichas leyes, estén establecidas en otros ordenamientos.</w:t>
      </w:r>
    </w:p>
    <w:p w14:paraId="48D71403" w14:textId="77777777" w:rsidR="009919DB" w:rsidRPr="00835574" w:rsidRDefault="009919DB" w:rsidP="009919DB">
      <w:pPr>
        <w:pStyle w:val="Sinespaciado"/>
        <w:jc w:val="both"/>
        <w:rPr>
          <w:i/>
          <w:iCs/>
        </w:rPr>
      </w:pPr>
    </w:p>
    <w:p w14:paraId="7E278815" w14:textId="77777777" w:rsidR="009919DB" w:rsidRPr="00835574" w:rsidRDefault="009919DB" w:rsidP="009919DB">
      <w:pPr>
        <w:pStyle w:val="Sinespaciado"/>
        <w:jc w:val="both"/>
        <w:rPr>
          <w:i/>
          <w:iCs/>
        </w:rPr>
      </w:pPr>
      <w:r w:rsidRPr="00835574">
        <w:rPr>
          <w:i/>
          <w:iCs/>
        </w:rPr>
        <w:t>• El Tribunal Electoral del Estado de Oaxaca a través de sus Órganos Colegiados emitirá acuerdos normativos que establezcan Políticas Generales del Gasto Público y los mecanismos y procedimientos para el ejercicio del Presupuesto de Egresos.</w:t>
      </w:r>
    </w:p>
    <w:p w14:paraId="4D9C9B65" w14:textId="77777777" w:rsidR="009919DB" w:rsidRPr="00835574" w:rsidRDefault="009919DB" w:rsidP="009919DB">
      <w:pPr>
        <w:pStyle w:val="Sinespaciado"/>
        <w:jc w:val="both"/>
        <w:rPr>
          <w:i/>
          <w:iCs/>
        </w:rPr>
      </w:pPr>
    </w:p>
    <w:p w14:paraId="0C023EA5" w14:textId="77777777" w:rsidR="009919DB" w:rsidRPr="00835574" w:rsidRDefault="009919DB" w:rsidP="009919DB">
      <w:pPr>
        <w:pStyle w:val="Sinespaciado"/>
        <w:jc w:val="both"/>
        <w:rPr>
          <w:b/>
          <w:bCs/>
          <w:i/>
          <w:iCs/>
        </w:rPr>
      </w:pPr>
      <w:r w:rsidRPr="00835574">
        <w:rPr>
          <w:b/>
          <w:bCs/>
          <w:i/>
          <w:iCs/>
        </w:rPr>
        <w:lastRenderedPageBreak/>
        <w:t>Metas</w:t>
      </w:r>
    </w:p>
    <w:p w14:paraId="4D2A0852" w14:textId="77777777" w:rsidR="009919DB" w:rsidRPr="00835574" w:rsidRDefault="009919DB" w:rsidP="009919DB">
      <w:pPr>
        <w:pStyle w:val="Sinespaciado"/>
        <w:jc w:val="both"/>
        <w:rPr>
          <w:b/>
          <w:bCs/>
          <w:i/>
          <w:iCs/>
        </w:rPr>
      </w:pPr>
    </w:p>
    <w:p w14:paraId="608E1D76" w14:textId="77777777" w:rsidR="009919DB" w:rsidRPr="00835574" w:rsidRDefault="009919DB" w:rsidP="009919DB">
      <w:pPr>
        <w:pStyle w:val="Sinespaciado"/>
        <w:jc w:val="both"/>
        <w:rPr>
          <w:i/>
          <w:iCs/>
        </w:rPr>
      </w:pPr>
      <w:r w:rsidRPr="00835574">
        <w:rPr>
          <w:i/>
          <w:iCs/>
        </w:rPr>
        <w:t>• Garantizar los principios de constitucionalidad y legalidad de los actos, resoluciones electorales y la protección de los Derechos Político-Electorales de los Ciudadanos del Estado de Oaxaca.</w:t>
      </w:r>
    </w:p>
    <w:p w14:paraId="470D1261" w14:textId="77777777" w:rsidR="009919DB" w:rsidRPr="00835574" w:rsidRDefault="009919DB" w:rsidP="009919DB">
      <w:pPr>
        <w:pStyle w:val="Sinespaciado"/>
        <w:jc w:val="both"/>
        <w:rPr>
          <w:i/>
          <w:iCs/>
        </w:rPr>
      </w:pPr>
    </w:p>
    <w:p w14:paraId="5B86FD43" w14:textId="77777777" w:rsidR="009919DB" w:rsidRPr="00835574" w:rsidRDefault="009919DB" w:rsidP="009919DB">
      <w:pPr>
        <w:pStyle w:val="Sinespaciado"/>
        <w:jc w:val="both"/>
        <w:rPr>
          <w:i/>
          <w:iCs/>
        </w:rPr>
      </w:pPr>
      <w:r w:rsidRPr="00835574">
        <w:rPr>
          <w:i/>
          <w:iCs/>
        </w:rPr>
        <w:t>• Cumplir eficaz y eficientemente los objetivos del Tribunal a través de la optimización de recursos humanos, materiales y financieros.</w:t>
      </w:r>
    </w:p>
    <w:p w14:paraId="64AECE00" w14:textId="77777777" w:rsidR="009919DB" w:rsidRPr="00835574" w:rsidRDefault="009919DB" w:rsidP="009919DB">
      <w:pPr>
        <w:pStyle w:val="Sinespaciado"/>
        <w:jc w:val="both"/>
        <w:rPr>
          <w:i/>
          <w:iCs/>
        </w:rPr>
      </w:pPr>
    </w:p>
    <w:p w14:paraId="2121CDF6" w14:textId="77777777" w:rsidR="009919DB" w:rsidRPr="00835574" w:rsidRDefault="009919DB" w:rsidP="009919DB">
      <w:pPr>
        <w:pStyle w:val="Sinespaciado"/>
        <w:jc w:val="both"/>
        <w:rPr>
          <w:i/>
          <w:iCs/>
        </w:rPr>
      </w:pPr>
      <w:r w:rsidRPr="00835574">
        <w:rPr>
          <w:i/>
          <w:iCs/>
        </w:rPr>
        <w:t>• Para la realización de las actividades propias de este Órgano Jurisdiccional y el cumplimiento de sus funciones, deberá ejercer sus recursos con austeridad y racionalidad, en apego a la legalidad y a la rendición de cuentas el presupuesto asignado al Tribunal.</w:t>
      </w:r>
    </w:p>
    <w:p w14:paraId="15A8F387" w14:textId="77777777" w:rsidR="00373877" w:rsidRPr="00835574" w:rsidRDefault="00373877" w:rsidP="009919DB">
      <w:pPr>
        <w:pStyle w:val="Sinespaciado"/>
        <w:jc w:val="both"/>
        <w:rPr>
          <w:b/>
          <w:bCs/>
          <w:i/>
          <w:iCs/>
        </w:rPr>
      </w:pPr>
    </w:p>
    <w:p w14:paraId="47149FBB" w14:textId="098D880C" w:rsidR="009919DB" w:rsidRPr="00835574" w:rsidRDefault="009919DB" w:rsidP="009919DB">
      <w:pPr>
        <w:pStyle w:val="Sinespaciado"/>
        <w:jc w:val="both"/>
        <w:rPr>
          <w:b/>
          <w:bCs/>
          <w:i/>
          <w:iCs/>
        </w:rPr>
      </w:pPr>
      <w:r w:rsidRPr="00835574">
        <w:rPr>
          <w:b/>
          <w:bCs/>
          <w:i/>
          <w:iCs/>
        </w:rPr>
        <w:t>POLÍTICAS DEL GASTO</w:t>
      </w:r>
    </w:p>
    <w:p w14:paraId="7D40944F" w14:textId="77777777" w:rsidR="009919DB" w:rsidRPr="00835574" w:rsidRDefault="009919DB" w:rsidP="009919DB">
      <w:pPr>
        <w:pStyle w:val="Sinespaciado"/>
        <w:jc w:val="both"/>
        <w:rPr>
          <w:b/>
          <w:bCs/>
          <w:i/>
          <w:iCs/>
        </w:rPr>
      </w:pPr>
    </w:p>
    <w:p w14:paraId="31869090" w14:textId="6F21000A" w:rsidR="009919DB" w:rsidRPr="00835574" w:rsidRDefault="009919DB" w:rsidP="009919DB">
      <w:pPr>
        <w:pStyle w:val="Sinespaciado"/>
        <w:jc w:val="both"/>
        <w:rPr>
          <w:i/>
          <w:iCs/>
        </w:rPr>
      </w:pPr>
      <w:r w:rsidRPr="00835574">
        <w:rPr>
          <w:i/>
          <w:iCs/>
        </w:rPr>
        <w:t>El Tribunal Electoral del Estado de Oaxaca, aplicará para ejecutar correctamente el gasto público, lo siguiente:</w:t>
      </w:r>
    </w:p>
    <w:p w14:paraId="600B8408" w14:textId="77777777" w:rsidR="00B0171B" w:rsidRPr="00835574" w:rsidRDefault="00B0171B" w:rsidP="009919DB">
      <w:pPr>
        <w:pStyle w:val="Sinespaciado"/>
        <w:jc w:val="both"/>
        <w:rPr>
          <w:i/>
          <w:iCs/>
        </w:rPr>
      </w:pPr>
    </w:p>
    <w:p w14:paraId="3C478234" w14:textId="6CBEAF02" w:rsidR="009919DB" w:rsidRPr="00835574" w:rsidRDefault="009919DB">
      <w:pPr>
        <w:pStyle w:val="Sinespaciado"/>
        <w:numPr>
          <w:ilvl w:val="0"/>
          <w:numId w:val="13"/>
        </w:numPr>
        <w:jc w:val="both"/>
        <w:rPr>
          <w:i/>
          <w:iCs/>
        </w:rPr>
      </w:pPr>
      <w:r w:rsidRPr="00835574">
        <w:rPr>
          <w:i/>
          <w:iCs/>
        </w:rPr>
        <w:t>Para efectuar cualquier tipo de erogaciones con cargo al presupuesto autorizado al Tribunal, las áreas deberán sujetarse a las normas para el ejercicio del presupuesto vigente, así como al glosario de partidas presupuestarias, al saldo disponible en la partida presupuestaria que corresponda, así como a las condiciones y a los rangos autorizados.</w:t>
      </w:r>
    </w:p>
    <w:p w14:paraId="1E5AE806" w14:textId="77777777" w:rsidR="009919DB" w:rsidRPr="00835574" w:rsidRDefault="009919DB" w:rsidP="009919DB">
      <w:pPr>
        <w:pStyle w:val="Sinespaciado"/>
        <w:ind w:left="720"/>
        <w:jc w:val="both"/>
        <w:rPr>
          <w:i/>
          <w:iCs/>
        </w:rPr>
      </w:pPr>
    </w:p>
    <w:p w14:paraId="2083ED92" w14:textId="77777777" w:rsidR="009919DB" w:rsidRPr="00835574" w:rsidRDefault="009919DB">
      <w:pPr>
        <w:pStyle w:val="Sinespaciado"/>
        <w:numPr>
          <w:ilvl w:val="0"/>
          <w:numId w:val="13"/>
        </w:numPr>
        <w:jc w:val="both"/>
        <w:rPr>
          <w:i/>
          <w:iCs/>
        </w:rPr>
      </w:pPr>
      <w:r w:rsidRPr="00835574">
        <w:rPr>
          <w:i/>
          <w:iCs/>
        </w:rPr>
        <w:t>No contraer ningún compromiso financiero si no se cuenta con la disponibilidad presupuestaria correspondiente; en caso contrario, deberá contar con la autorización de la Magistrada Presidenta y del Titular de la Unidad Administrativa.</w:t>
      </w:r>
    </w:p>
    <w:p w14:paraId="003DC725" w14:textId="77777777" w:rsidR="009919DB" w:rsidRPr="00835574" w:rsidRDefault="009919DB" w:rsidP="009919DB">
      <w:pPr>
        <w:pStyle w:val="Sinespaciado"/>
        <w:jc w:val="both"/>
        <w:rPr>
          <w:i/>
          <w:iCs/>
        </w:rPr>
      </w:pPr>
    </w:p>
    <w:p w14:paraId="5D0D8665" w14:textId="77777777" w:rsidR="009919DB" w:rsidRPr="00835574" w:rsidRDefault="009919DB">
      <w:pPr>
        <w:pStyle w:val="Sinespaciado"/>
        <w:numPr>
          <w:ilvl w:val="0"/>
          <w:numId w:val="13"/>
        </w:numPr>
        <w:jc w:val="both"/>
        <w:rPr>
          <w:i/>
          <w:iCs/>
        </w:rPr>
      </w:pPr>
      <w:r w:rsidRPr="00835574">
        <w:rPr>
          <w:i/>
          <w:iCs/>
        </w:rPr>
        <w:t>El Tribunal podrá realizar las adecuaciones presupuestarias necesarias siempre que estas permitan un mejor cumplimiento de los objetivos de los programas a su cargo.</w:t>
      </w:r>
    </w:p>
    <w:p w14:paraId="6AE9B41F" w14:textId="77777777" w:rsidR="009919DB" w:rsidRPr="00835574" w:rsidRDefault="009919DB" w:rsidP="009919DB">
      <w:pPr>
        <w:pStyle w:val="Sinespaciado"/>
        <w:jc w:val="both"/>
        <w:rPr>
          <w:i/>
          <w:iCs/>
        </w:rPr>
      </w:pPr>
    </w:p>
    <w:p w14:paraId="22AFF2EA" w14:textId="77777777" w:rsidR="009919DB" w:rsidRPr="00835574" w:rsidRDefault="009919DB">
      <w:pPr>
        <w:pStyle w:val="Sinespaciado"/>
        <w:numPr>
          <w:ilvl w:val="0"/>
          <w:numId w:val="13"/>
        </w:numPr>
        <w:jc w:val="both"/>
        <w:rPr>
          <w:i/>
          <w:iCs/>
        </w:rPr>
      </w:pPr>
      <w:r w:rsidRPr="00835574">
        <w:rPr>
          <w:i/>
          <w:iCs/>
        </w:rPr>
        <w:t>Todos los servidores públicos que en el ámbito de su competencia manejen recursos financieros, serán responsables de ejercerlos con base en los criterios de legalidad, eficiencia, eficacia, economía, transparencia, honradez, racionalidad, austeridad, control, rendición de cuentas y equidad de género, para el logro de los objetivos a los que están destinados.</w:t>
      </w:r>
    </w:p>
    <w:p w14:paraId="5306B2FA" w14:textId="77777777" w:rsidR="009919DB" w:rsidRPr="00835574" w:rsidRDefault="009919DB" w:rsidP="009919DB">
      <w:pPr>
        <w:pStyle w:val="Sinespaciado"/>
        <w:jc w:val="both"/>
        <w:rPr>
          <w:i/>
          <w:iCs/>
        </w:rPr>
      </w:pPr>
    </w:p>
    <w:p w14:paraId="430D14F6" w14:textId="77777777" w:rsidR="009919DB" w:rsidRPr="00835574" w:rsidRDefault="009919DB">
      <w:pPr>
        <w:pStyle w:val="Sinespaciado"/>
        <w:numPr>
          <w:ilvl w:val="0"/>
          <w:numId w:val="13"/>
        </w:numPr>
        <w:jc w:val="both"/>
        <w:rPr>
          <w:i/>
          <w:iCs/>
        </w:rPr>
      </w:pPr>
      <w:r w:rsidRPr="00835574">
        <w:rPr>
          <w:i/>
          <w:iCs/>
        </w:rPr>
        <w:t>Toda la documentación comprobatoria del gasto deberá contar con la autorización de la Magistrada presidenta y del Titular de la Unidad Administrativa, garantizando dicha Unidad a través de su Departamento de Recursos Financieros que cumpla con los requisitos normativos y fiscales correspondientes.</w:t>
      </w:r>
    </w:p>
    <w:p w14:paraId="67E9E9AC" w14:textId="77777777" w:rsidR="009919DB" w:rsidRPr="00835574" w:rsidRDefault="009919DB" w:rsidP="009919DB">
      <w:pPr>
        <w:pStyle w:val="Prrafodelista"/>
        <w:rPr>
          <w:i/>
          <w:iCs/>
        </w:rPr>
      </w:pPr>
    </w:p>
    <w:p w14:paraId="13B65031" w14:textId="77777777" w:rsidR="009919DB" w:rsidRPr="00835574" w:rsidRDefault="009919DB">
      <w:pPr>
        <w:pStyle w:val="Sinespaciado"/>
        <w:numPr>
          <w:ilvl w:val="0"/>
          <w:numId w:val="13"/>
        </w:numPr>
        <w:jc w:val="both"/>
        <w:rPr>
          <w:i/>
          <w:iCs/>
        </w:rPr>
      </w:pPr>
      <w:r w:rsidRPr="00835574">
        <w:rPr>
          <w:i/>
          <w:iCs/>
        </w:rPr>
        <w:lastRenderedPageBreak/>
        <w:t xml:space="preserve"> Las remuneraciones salariales del Tribunal Electoral del Estado de Oaxaca, estarán sujetas al tabulador de sueldos y salarios que apruebe el Pleno, como Órgano de mayor jerarquía en términos reglamentarios.</w:t>
      </w:r>
    </w:p>
    <w:p w14:paraId="542F2012" w14:textId="77777777" w:rsidR="009919DB" w:rsidRPr="00835574" w:rsidRDefault="009919DB" w:rsidP="009919DB">
      <w:pPr>
        <w:pStyle w:val="Sinespaciado"/>
        <w:jc w:val="both"/>
        <w:rPr>
          <w:i/>
          <w:iCs/>
        </w:rPr>
      </w:pPr>
    </w:p>
    <w:p w14:paraId="2EEE3C30" w14:textId="77777777" w:rsidR="009919DB" w:rsidRPr="00835574" w:rsidRDefault="009919DB">
      <w:pPr>
        <w:pStyle w:val="Sinespaciado"/>
        <w:numPr>
          <w:ilvl w:val="0"/>
          <w:numId w:val="13"/>
        </w:numPr>
        <w:jc w:val="both"/>
        <w:rPr>
          <w:i/>
          <w:iCs/>
        </w:rPr>
      </w:pPr>
      <w:r w:rsidRPr="00835574">
        <w:rPr>
          <w:i/>
          <w:iCs/>
        </w:rPr>
        <w:t>En términos del artículo 96 de la Ley Orgánica del Tribunal Electoral del Estado de Oaxaca y en correlación con los artículos 84 fracción XX y 86 fracción XIII del Reglamento Interno del Tribunal Electoral del Estado de Oaxaca; durante los procesos electorales no se pagarán horas extras, pero se preverán en el Presupuesto las compensaciones extraordinarias (bono electoral) que deban otorgarse a las servidoras y servidores del Tribunal, para tal efecto se gestionará ante la Secretaría de Finanzas del Poder Ejecutivo lo correspondiente, según las condiciones y particularidades que transcurran como Órgano Permanente de Impartición de Justicia Electoral.</w:t>
      </w:r>
    </w:p>
    <w:p w14:paraId="0487DBA0" w14:textId="77777777" w:rsidR="009919DB" w:rsidRPr="00835574" w:rsidRDefault="009919DB" w:rsidP="009919DB">
      <w:pPr>
        <w:pStyle w:val="Sinespaciado"/>
        <w:jc w:val="both"/>
        <w:rPr>
          <w:i/>
          <w:iCs/>
        </w:rPr>
      </w:pPr>
    </w:p>
    <w:p w14:paraId="6B0148F6" w14:textId="77777777" w:rsidR="009919DB" w:rsidRPr="00835574" w:rsidRDefault="009919DB">
      <w:pPr>
        <w:pStyle w:val="Sinespaciado"/>
        <w:numPr>
          <w:ilvl w:val="0"/>
          <w:numId w:val="13"/>
        </w:numPr>
        <w:jc w:val="both"/>
        <w:rPr>
          <w:i/>
          <w:iCs/>
        </w:rPr>
      </w:pPr>
      <w:r w:rsidRPr="00835574">
        <w:rPr>
          <w:i/>
          <w:iCs/>
        </w:rPr>
        <w:t>Previo a la contratación de servicios básicos: energía eléctrica, teléfonos convencionales y celulares, agua potable, arrendamiento de inmuebles y muebles, deberá confirmarse la disponibilidad de recursos presupuestarios y obtener la autorización de la Unidad Administrativa y de la Magistrada presidenta, o en su caso, del Comité de Adquisiciones, Enajenaciones, Arrendamientos y Prestación de Servicios, según los montos máximos autorizados por éste.</w:t>
      </w:r>
    </w:p>
    <w:p w14:paraId="2B58FC48" w14:textId="77777777" w:rsidR="009919DB" w:rsidRPr="00835574" w:rsidRDefault="009919DB" w:rsidP="009919DB">
      <w:pPr>
        <w:pStyle w:val="Sinespaciado"/>
        <w:jc w:val="both"/>
        <w:rPr>
          <w:i/>
          <w:iCs/>
        </w:rPr>
      </w:pPr>
    </w:p>
    <w:p w14:paraId="0FD313D3" w14:textId="77777777" w:rsidR="009919DB" w:rsidRPr="00835574" w:rsidRDefault="009919DB">
      <w:pPr>
        <w:pStyle w:val="Sinespaciado"/>
        <w:numPr>
          <w:ilvl w:val="0"/>
          <w:numId w:val="13"/>
        </w:numPr>
        <w:jc w:val="both"/>
        <w:rPr>
          <w:i/>
          <w:iCs/>
        </w:rPr>
      </w:pPr>
      <w:r w:rsidRPr="00835574">
        <w:rPr>
          <w:i/>
          <w:iCs/>
        </w:rPr>
        <w:t>Con alto sentido de responsabilidad, los Servidores Púbicos del Tribunal harán uso racional de los materiales y útiles de oficina, impresión y fotocopiado, así como de la energía eléctrica, agua, vehículos oficiales y demás bienes de la institución; tomando en cuenta el apagar y desconectar debidamente los equipos de cómputo y/o electrónico al momento de salir de la institución, el uso adecuado de los vehículos, imprimir y/o reproducir los documentos oficiales sólo cuando sea necesario; teniendo la Unidad Administrativa la atribución de emitir circulares para establecer lineamientos y medidas de austeridad.</w:t>
      </w:r>
    </w:p>
    <w:p w14:paraId="2FAC4BF0" w14:textId="77777777" w:rsidR="009919DB" w:rsidRPr="00835574" w:rsidRDefault="009919DB" w:rsidP="009919DB">
      <w:pPr>
        <w:pStyle w:val="Sinespaciado"/>
        <w:ind w:left="720"/>
        <w:jc w:val="both"/>
        <w:rPr>
          <w:i/>
          <w:iCs/>
        </w:rPr>
      </w:pPr>
    </w:p>
    <w:p w14:paraId="7FE9F832" w14:textId="77777777" w:rsidR="009919DB" w:rsidRPr="00835574" w:rsidRDefault="009919DB">
      <w:pPr>
        <w:pStyle w:val="Sinespaciado"/>
        <w:numPr>
          <w:ilvl w:val="0"/>
          <w:numId w:val="13"/>
        </w:numPr>
        <w:jc w:val="both"/>
        <w:rPr>
          <w:i/>
          <w:iCs/>
        </w:rPr>
      </w:pPr>
      <w:r w:rsidRPr="00835574">
        <w:rPr>
          <w:i/>
          <w:iCs/>
        </w:rPr>
        <w:t>Para la adecuada operación de las áreas del Tribunal, y con el objeto de hacer eficiente el manejo de recursos autorizados, sus responsables deberán solicitar con la debida oportunidad los materiales, bienes y suministros indispensables para el desarrollo de sus actividades.</w:t>
      </w:r>
    </w:p>
    <w:p w14:paraId="4DE39757" w14:textId="77777777" w:rsidR="009919DB" w:rsidRPr="00835574" w:rsidRDefault="009919DB" w:rsidP="009919DB">
      <w:pPr>
        <w:pStyle w:val="Sinespaciado"/>
        <w:jc w:val="both"/>
        <w:rPr>
          <w:i/>
          <w:iCs/>
        </w:rPr>
      </w:pPr>
    </w:p>
    <w:p w14:paraId="2F31C424" w14:textId="77777777" w:rsidR="009919DB" w:rsidRPr="00835574" w:rsidRDefault="009919DB">
      <w:pPr>
        <w:pStyle w:val="Sinespaciado"/>
        <w:numPr>
          <w:ilvl w:val="0"/>
          <w:numId w:val="13"/>
        </w:numPr>
        <w:jc w:val="both"/>
        <w:rPr>
          <w:i/>
          <w:iCs/>
        </w:rPr>
      </w:pPr>
      <w:r w:rsidRPr="00835574">
        <w:rPr>
          <w:i/>
          <w:iCs/>
        </w:rPr>
        <w:t>Los gastos por pasajes aéreos y terrestres procederán sólo cuando se deriven del cumplimiento de comisiones oficialmente autorizadas y justificadas, acordes con las funciones, programas y proyectos de cada área del Tribunal.</w:t>
      </w:r>
    </w:p>
    <w:p w14:paraId="233E6342" w14:textId="77777777" w:rsidR="009919DB" w:rsidRPr="00835574" w:rsidRDefault="009919DB" w:rsidP="009919DB">
      <w:pPr>
        <w:pStyle w:val="Sinespaciado"/>
        <w:jc w:val="both"/>
        <w:rPr>
          <w:i/>
          <w:iCs/>
        </w:rPr>
      </w:pPr>
    </w:p>
    <w:p w14:paraId="2B72AE13" w14:textId="77777777" w:rsidR="009919DB" w:rsidRPr="00835574" w:rsidRDefault="009919DB">
      <w:pPr>
        <w:pStyle w:val="Sinespaciado"/>
        <w:numPr>
          <w:ilvl w:val="0"/>
          <w:numId w:val="13"/>
        </w:numPr>
        <w:jc w:val="both"/>
        <w:rPr>
          <w:i/>
          <w:iCs/>
        </w:rPr>
      </w:pPr>
      <w:r w:rsidRPr="00835574">
        <w:rPr>
          <w:i/>
          <w:iCs/>
        </w:rPr>
        <w:t xml:space="preserve">Cuando por circunstancias extraordinarias los comprobantes del gasto no reúnan los requisitos fiscales vigentes, éstos se podrán comprobar mediante el Formato FR-1 denominado “Comprobación de gastos sin requisitos fiscales”, siempre y cuando exista una justificación razonable; formato que en su contenido describirá de manera clara y concisa el </w:t>
      </w:r>
      <w:r w:rsidRPr="00835574">
        <w:rPr>
          <w:i/>
          <w:iCs/>
        </w:rPr>
        <w:lastRenderedPageBreak/>
        <w:t>concepto y justificación del gasto, sin exceder de veintidós Unidades de Medida y Actualización (UMA).</w:t>
      </w:r>
    </w:p>
    <w:p w14:paraId="698CD33C" w14:textId="77777777" w:rsidR="009919DB" w:rsidRPr="00835574" w:rsidRDefault="009919DB" w:rsidP="009919DB">
      <w:pPr>
        <w:pStyle w:val="Sinespaciado"/>
        <w:ind w:left="720"/>
        <w:jc w:val="both"/>
        <w:rPr>
          <w:i/>
          <w:iCs/>
        </w:rPr>
      </w:pPr>
    </w:p>
    <w:p w14:paraId="5A9097CF" w14:textId="77777777" w:rsidR="009919DB" w:rsidRPr="00835574" w:rsidRDefault="009919DB">
      <w:pPr>
        <w:pStyle w:val="Sinespaciado"/>
        <w:numPr>
          <w:ilvl w:val="0"/>
          <w:numId w:val="13"/>
        </w:numPr>
        <w:jc w:val="both"/>
        <w:rPr>
          <w:i/>
          <w:iCs/>
        </w:rPr>
      </w:pPr>
      <w:r w:rsidRPr="00835574">
        <w:rPr>
          <w:i/>
          <w:iCs/>
        </w:rPr>
        <w:t>Respecto a los gastos por mantenimiento y reparación de bienes muebles e inmuebles que se realicen con cargo al presupuesto autorizado deberán estar registrados en el inventario del Tribunal, o en su caso, contar con el contrato de comodato debidamente suscrito.</w:t>
      </w:r>
    </w:p>
    <w:p w14:paraId="781CD96E" w14:textId="77777777" w:rsidR="009919DB" w:rsidRPr="00835574" w:rsidRDefault="009919DB" w:rsidP="009919DB">
      <w:pPr>
        <w:pStyle w:val="Sinespaciado"/>
        <w:ind w:left="720"/>
        <w:jc w:val="both"/>
        <w:rPr>
          <w:i/>
          <w:iCs/>
        </w:rPr>
      </w:pPr>
    </w:p>
    <w:p w14:paraId="05CE4D1F" w14:textId="77777777" w:rsidR="009919DB" w:rsidRPr="00835574" w:rsidRDefault="009919DB">
      <w:pPr>
        <w:pStyle w:val="Sinespaciado"/>
        <w:numPr>
          <w:ilvl w:val="0"/>
          <w:numId w:val="13"/>
        </w:numPr>
        <w:jc w:val="both"/>
        <w:rPr>
          <w:i/>
          <w:iCs/>
        </w:rPr>
      </w:pPr>
      <w:r w:rsidRPr="00835574">
        <w:rPr>
          <w:i/>
          <w:iCs/>
        </w:rPr>
        <w:t>Derivado de la afectación estructural del inmueble propiedad del Tribunal Electoral del Estado de Oaxaca, el mantenimiento y/o adecuaciones a inmuebles arrendados, se pagarán sólo si están autorizados por la Magistrada presidenta y por el Titular de la Unidad Administrativa, con la debida justificación que respalde el gasto; en caso de exceder los montos máximos la autorización será otorgada por el Comité de Adquisiciones, Enajenaciones, Arrendamientos y Prestación de Servicios del propio Tribunal.</w:t>
      </w:r>
    </w:p>
    <w:p w14:paraId="567150FD" w14:textId="77777777" w:rsidR="009919DB" w:rsidRPr="00835574" w:rsidRDefault="009919DB" w:rsidP="009919DB">
      <w:pPr>
        <w:pStyle w:val="Sinespaciado"/>
        <w:ind w:left="360"/>
        <w:jc w:val="both"/>
        <w:rPr>
          <w:i/>
          <w:iCs/>
        </w:rPr>
      </w:pPr>
    </w:p>
    <w:p w14:paraId="543CD2A0" w14:textId="77777777" w:rsidR="009919DB" w:rsidRPr="00835574" w:rsidRDefault="009919DB" w:rsidP="009919DB">
      <w:pPr>
        <w:pStyle w:val="Sinespaciado"/>
        <w:numPr>
          <w:ilvl w:val="0"/>
          <w:numId w:val="4"/>
        </w:numPr>
        <w:jc w:val="both"/>
        <w:rPr>
          <w:b/>
          <w:bCs/>
          <w:i/>
          <w:iCs/>
        </w:rPr>
      </w:pPr>
      <w:r w:rsidRPr="00835574">
        <w:rPr>
          <w:b/>
          <w:bCs/>
          <w:i/>
          <w:iCs/>
        </w:rPr>
        <w:t>TRIBUNAL DE JUSTICIA ADMINISTRATIVA DEL ESTADO DE OAXACA</w:t>
      </w:r>
    </w:p>
    <w:p w14:paraId="3C69205D" w14:textId="77777777" w:rsidR="009919DB" w:rsidRPr="00835574" w:rsidRDefault="009919DB" w:rsidP="009919DB">
      <w:pPr>
        <w:pStyle w:val="Sinespaciado"/>
        <w:jc w:val="both"/>
        <w:rPr>
          <w:b/>
          <w:i/>
          <w:iCs/>
        </w:rPr>
      </w:pPr>
    </w:p>
    <w:p w14:paraId="280B5A44" w14:textId="77777777" w:rsidR="009919DB" w:rsidRPr="00835574" w:rsidRDefault="009919DB" w:rsidP="009919DB">
      <w:pPr>
        <w:pStyle w:val="Sinespaciado"/>
        <w:jc w:val="both"/>
        <w:rPr>
          <w:rFonts w:eastAsia="MS Mincho"/>
          <w:i/>
          <w:iCs/>
          <w:lang w:val="es-ES_tradnl" w:eastAsia="es-ES"/>
        </w:rPr>
      </w:pPr>
      <w:r w:rsidRPr="00835574">
        <w:rPr>
          <w:rFonts w:eastAsia="MS Mincho"/>
          <w:i/>
          <w:iCs/>
          <w:lang w:val="es-ES_tradnl" w:eastAsia="es-ES"/>
        </w:rPr>
        <w:t>El Tribunal de Justicia Administrativa del Estado de Oaxaca es un Órgano Autónomo creado mediante Decreto 786 de fecha 16 de enero de 2018, con personalidad jurídica y patrimonio propio, siendo su principal objetivo impartir justicia en materia de Fiscalización, Rendición de Cuentas, Responsabilidad de los Servidores Públicos, Combate a la Corrupción e Impartición de Justicia Administrativa, dotado de autonomía para dictar sus fallos y establecer su organización y su presupuesto.</w:t>
      </w:r>
    </w:p>
    <w:p w14:paraId="5692AB4F" w14:textId="77777777" w:rsidR="009919DB" w:rsidRPr="00835574" w:rsidRDefault="009919DB" w:rsidP="009919DB">
      <w:pPr>
        <w:pStyle w:val="Sinespaciado"/>
        <w:jc w:val="both"/>
        <w:rPr>
          <w:rFonts w:eastAsia="MS Mincho"/>
          <w:i/>
          <w:iCs/>
          <w:lang w:val="es-ES_tradnl" w:eastAsia="es-ES"/>
        </w:rPr>
      </w:pPr>
    </w:p>
    <w:p w14:paraId="53C2CFE9" w14:textId="77777777" w:rsidR="009919DB" w:rsidRPr="00835574" w:rsidRDefault="009919DB" w:rsidP="009919DB">
      <w:pPr>
        <w:pStyle w:val="Sinespaciado"/>
        <w:jc w:val="both"/>
        <w:rPr>
          <w:rFonts w:eastAsia="MS Mincho"/>
          <w:i/>
          <w:iCs/>
          <w:lang w:val="es-ES_tradnl" w:eastAsia="es-ES"/>
        </w:rPr>
      </w:pPr>
      <w:r w:rsidRPr="00835574">
        <w:rPr>
          <w:rFonts w:eastAsia="MS Mincho"/>
          <w:i/>
          <w:iCs/>
          <w:lang w:val="es-ES_tradnl" w:eastAsia="es-ES"/>
        </w:rPr>
        <w:t>En cumplimiento a lo dispuesto en la Reforma Constitucional aprobada el 6 de abril del 2011 por el Congreso del Estado y publicada en el Periódico Oficial del Estado el 15 de abril del mismo año. El Poder Legislativo, El Poder Judicial y los Órganos Autónomos, elaborarán su Programa Operativo Anual (POA), con pleno respeto a su autonomía presupuestal.</w:t>
      </w:r>
    </w:p>
    <w:p w14:paraId="73AF1228" w14:textId="77777777" w:rsidR="009919DB" w:rsidRPr="00835574" w:rsidRDefault="009919DB" w:rsidP="009919DB">
      <w:pPr>
        <w:pStyle w:val="Sinespaciado"/>
        <w:jc w:val="both"/>
        <w:rPr>
          <w:rFonts w:eastAsia="MS Mincho"/>
          <w:i/>
          <w:iCs/>
          <w:lang w:val="es-ES_tradnl" w:eastAsia="es-ES"/>
        </w:rPr>
      </w:pPr>
    </w:p>
    <w:p w14:paraId="1E5873AE" w14:textId="77777777" w:rsidR="009919DB" w:rsidRPr="00835574" w:rsidRDefault="009919DB" w:rsidP="009919DB">
      <w:pPr>
        <w:pStyle w:val="Sinespaciado"/>
        <w:jc w:val="both"/>
        <w:rPr>
          <w:rFonts w:eastAsia="MS Mincho"/>
          <w:i/>
          <w:iCs/>
          <w:lang w:val="es-ES_tradnl" w:eastAsia="es-ES"/>
        </w:rPr>
      </w:pPr>
      <w:r w:rsidRPr="00835574">
        <w:rPr>
          <w:rFonts w:eastAsia="MS Mincho"/>
          <w:i/>
          <w:iCs/>
          <w:lang w:val="es-ES_tradnl" w:eastAsia="es-ES"/>
        </w:rPr>
        <w:t>Para dar cumplimiento a las políticas y estrategias del gasto; observando los principios de legalidad, eficiencia, eficacia, economía, transparencia, honradez, racionalidad, austeridad, control,</w:t>
      </w:r>
      <w:r w:rsidRPr="00835574">
        <w:rPr>
          <w:rFonts w:eastAsia="MS Mincho"/>
          <w:i/>
          <w:iCs/>
          <w:spacing w:val="-28"/>
          <w:lang w:val="es-ES_tradnl" w:eastAsia="es-ES"/>
        </w:rPr>
        <w:t xml:space="preserve"> </w:t>
      </w:r>
      <w:r w:rsidRPr="00835574">
        <w:rPr>
          <w:rFonts w:eastAsia="MS Mincho"/>
          <w:i/>
          <w:iCs/>
          <w:lang w:val="es-ES_tradnl" w:eastAsia="es-ES"/>
        </w:rPr>
        <w:t>rendición de cuentas y disciplina presupuestal, se plantean las siguientes políticas</w:t>
      </w:r>
      <w:r w:rsidRPr="00835574">
        <w:rPr>
          <w:rFonts w:eastAsia="MS Mincho"/>
          <w:i/>
          <w:iCs/>
          <w:spacing w:val="-12"/>
          <w:lang w:val="es-ES_tradnl" w:eastAsia="es-ES"/>
        </w:rPr>
        <w:t xml:space="preserve"> </w:t>
      </w:r>
      <w:r w:rsidRPr="00835574">
        <w:rPr>
          <w:rFonts w:eastAsia="MS Mincho"/>
          <w:i/>
          <w:iCs/>
          <w:lang w:val="es-ES_tradnl" w:eastAsia="es-ES"/>
        </w:rPr>
        <w:t>presupuestarias:</w:t>
      </w:r>
    </w:p>
    <w:p w14:paraId="425AAA76" w14:textId="77777777" w:rsidR="009919DB" w:rsidRPr="00835574" w:rsidRDefault="009919DB" w:rsidP="009919DB">
      <w:pPr>
        <w:pStyle w:val="Sinespaciado"/>
        <w:jc w:val="both"/>
        <w:rPr>
          <w:rFonts w:eastAsia="MS Mincho"/>
          <w:i/>
          <w:iCs/>
          <w:lang w:val="es-ES_tradnl" w:eastAsia="es-ES"/>
        </w:rPr>
      </w:pPr>
    </w:p>
    <w:p w14:paraId="2B4A38F3" w14:textId="77777777" w:rsidR="009919DB" w:rsidRPr="00835574" w:rsidRDefault="009919DB" w:rsidP="009919DB">
      <w:pPr>
        <w:pStyle w:val="Sinespaciado"/>
        <w:jc w:val="both"/>
        <w:rPr>
          <w:b/>
          <w:bCs/>
          <w:i/>
          <w:iCs/>
        </w:rPr>
      </w:pPr>
      <w:r w:rsidRPr="00835574">
        <w:rPr>
          <w:b/>
          <w:bCs/>
          <w:i/>
          <w:iCs/>
        </w:rPr>
        <w:t>Objetivos:</w:t>
      </w:r>
    </w:p>
    <w:p w14:paraId="59779213" w14:textId="77777777" w:rsidR="009919DB" w:rsidRPr="00835574" w:rsidRDefault="009919DB" w:rsidP="009919DB">
      <w:pPr>
        <w:pStyle w:val="Sinespaciado"/>
        <w:jc w:val="both"/>
        <w:rPr>
          <w:b/>
          <w:bCs/>
          <w:i/>
          <w:iCs/>
        </w:rPr>
      </w:pPr>
    </w:p>
    <w:p w14:paraId="5B2BCDE6" w14:textId="77777777" w:rsidR="009919DB" w:rsidRPr="00835574" w:rsidRDefault="009919DB" w:rsidP="009919DB">
      <w:pPr>
        <w:pStyle w:val="Sinespaciado"/>
        <w:jc w:val="both"/>
        <w:rPr>
          <w:b/>
          <w:bCs/>
          <w:i/>
          <w:iCs/>
        </w:rPr>
      </w:pPr>
      <w:r w:rsidRPr="00835574">
        <w:rPr>
          <w:b/>
          <w:bCs/>
          <w:i/>
          <w:iCs/>
        </w:rPr>
        <w:t>Presupuesto</w:t>
      </w:r>
      <w:r w:rsidRPr="00835574">
        <w:rPr>
          <w:b/>
          <w:bCs/>
          <w:i/>
          <w:iCs/>
        </w:rPr>
        <w:tab/>
      </w:r>
    </w:p>
    <w:p w14:paraId="3A86D915" w14:textId="77777777" w:rsidR="009919DB" w:rsidRPr="00835574" w:rsidRDefault="009919DB" w:rsidP="009919DB">
      <w:pPr>
        <w:pStyle w:val="Sinespaciado"/>
        <w:jc w:val="both"/>
        <w:rPr>
          <w:b/>
          <w:bCs/>
          <w:i/>
          <w:iCs/>
        </w:rPr>
      </w:pPr>
    </w:p>
    <w:p w14:paraId="6242BD03" w14:textId="10D91918" w:rsidR="009919DB" w:rsidRPr="00835574" w:rsidRDefault="009919DB" w:rsidP="009919DB">
      <w:pPr>
        <w:pStyle w:val="Sinespaciado"/>
        <w:jc w:val="both"/>
        <w:rPr>
          <w:i/>
          <w:iCs/>
        </w:rPr>
      </w:pPr>
      <w:r w:rsidRPr="00835574">
        <w:rPr>
          <w:b/>
          <w:bCs/>
          <w:i/>
          <w:iCs/>
        </w:rPr>
        <w:t xml:space="preserve"> </w:t>
      </w:r>
      <w:r w:rsidRPr="00835574">
        <w:rPr>
          <w:i/>
          <w:iCs/>
        </w:rPr>
        <w:t xml:space="preserve">Sujetándonos a los lineamientos de los procesos de Planeación, Programación y Presupuestación, mediante el Programa Operativo Anual 2023 y tomando en consideración la participación de las diversas áreas jurisdiccionales y administrativas que integran este Tribunal, se cumplirá con este proceso priorizando el plan de austeridad, creando estrategias para optimizar el gasto sin dejar de cumplir con el objetivo principal para el cual fue creado este Órgano Jurisdiccional, que es el de dar certeza jurídica a los gobernados en materia administrativa, resolviendo las controversias jurídicas </w:t>
      </w:r>
      <w:r w:rsidRPr="00835574">
        <w:rPr>
          <w:i/>
          <w:iCs/>
        </w:rPr>
        <w:lastRenderedPageBreak/>
        <w:t>administrativas que se susciten entre la Administración Pública Estatal y los particulares, garantizando así sus derechos fundamentales.</w:t>
      </w:r>
    </w:p>
    <w:p w14:paraId="355A19BF" w14:textId="77777777" w:rsidR="009919DB" w:rsidRPr="00835574" w:rsidRDefault="009919DB" w:rsidP="009919DB">
      <w:pPr>
        <w:pStyle w:val="Sinespaciado"/>
        <w:jc w:val="both"/>
        <w:rPr>
          <w:i/>
          <w:iCs/>
        </w:rPr>
      </w:pPr>
    </w:p>
    <w:p w14:paraId="5C9A7F50" w14:textId="77777777" w:rsidR="009919DB" w:rsidRPr="00835574" w:rsidRDefault="009919DB" w:rsidP="009919DB">
      <w:pPr>
        <w:pStyle w:val="Sinespaciado"/>
        <w:jc w:val="both"/>
        <w:rPr>
          <w:b/>
          <w:bCs/>
          <w:i/>
          <w:iCs/>
        </w:rPr>
      </w:pPr>
      <w:r w:rsidRPr="00835574">
        <w:rPr>
          <w:b/>
          <w:bCs/>
          <w:i/>
          <w:iCs/>
        </w:rPr>
        <w:t>Estrategias:</w:t>
      </w:r>
    </w:p>
    <w:p w14:paraId="2E13127B" w14:textId="77777777" w:rsidR="009919DB" w:rsidRPr="00835574" w:rsidRDefault="009919DB" w:rsidP="009919DB">
      <w:pPr>
        <w:pStyle w:val="Sinespaciado"/>
        <w:jc w:val="both"/>
        <w:rPr>
          <w:b/>
          <w:bCs/>
          <w:i/>
          <w:iCs/>
        </w:rPr>
      </w:pPr>
    </w:p>
    <w:p w14:paraId="2CB8BA2C" w14:textId="77777777" w:rsidR="009919DB" w:rsidRPr="00835574" w:rsidRDefault="009919DB" w:rsidP="009919DB">
      <w:pPr>
        <w:pStyle w:val="Sinespaciado"/>
        <w:jc w:val="both"/>
        <w:rPr>
          <w:b/>
          <w:bCs/>
          <w:i/>
          <w:iCs/>
        </w:rPr>
      </w:pPr>
      <w:r w:rsidRPr="00835574">
        <w:rPr>
          <w:b/>
          <w:bCs/>
          <w:i/>
          <w:iCs/>
        </w:rPr>
        <w:t xml:space="preserve">     Austeridad presupuestal</w:t>
      </w:r>
    </w:p>
    <w:p w14:paraId="45CAFA62" w14:textId="77777777" w:rsidR="009919DB" w:rsidRPr="00835574" w:rsidRDefault="009919DB" w:rsidP="009919DB">
      <w:pPr>
        <w:pStyle w:val="Sinespaciado"/>
        <w:jc w:val="both"/>
        <w:rPr>
          <w:b/>
          <w:bCs/>
          <w:i/>
          <w:iCs/>
        </w:rPr>
      </w:pPr>
    </w:p>
    <w:p w14:paraId="16623347" w14:textId="5027A7B9" w:rsidR="00B0171B" w:rsidRPr="00835574" w:rsidRDefault="009919DB" w:rsidP="00373877">
      <w:pPr>
        <w:pStyle w:val="Sinespaciado"/>
        <w:jc w:val="both"/>
        <w:rPr>
          <w:i/>
          <w:iCs/>
        </w:rPr>
      </w:pPr>
      <w:r w:rsidRPr="00835574">
        <w:rPr>
          <w:i/>
          <w:iCs/>
        </w:rPr>
        <w:t>En apego al presupuesto aprobado y sujetándose a la Ley Estatal de Presupuesto y Responsabilidad Hacendaria, este Tribunal emprenderá acciones para optimizar los recursos financieros, humanos, materiales y servicios generales.</w:t>
      </w:r>
    </w:p>
    <w:p w14:paraId="1C5A4D09" w14:textId="77777777" w:rsidR="00373877" w:rsidRPr="00835574" w:rsidRDefault="00373877" w:rsidP="00373877">
      <w:pPr>
        <w:pStyle w:val="Sinespaciado"/>
        <w:jc w:val="both"/>
        <w:rPr>
          <w:b/>
          <w:bCs/>
          <w:i/>
          <w:iCs/>
        </w:rPr>
      </w:pPr>
    </w:p>
    <w:p w14:paraId="397AAD2C" w14:textId="3E9FE007" w:rsidR="009919DB" w:rsidRPr="00835574" w:rsidRDefault="009919DB" w:rsidP="009919DB">
      <w:pPr>
        <w:pStyle w:val="Sinespaciado"/>
        <w:jc w:val="both"/>
        <w:rPr>
          <w:b/>
          <w:bCs/>
          <w:i/>
          <w:iCs/>
        </w:rPr>
      </w:pPr>
      <w:r w:rsidRPr="00835574">
        <w:rPr>
          <w:b/>
          <w:bCs/>
          <w:i/>
          <w:iCs/>
        </w:rPr>
        <w:t>Materiales y suministros</w:t>
      </w:r>
    </w:p>
    <w:p w14:paraId="32525278" w14:textId="77777777" w:rsidR="009919DB" w:rsidRPr="00835574" w:rsidRDefault="009919DB" w:rsidP="009919DB">
      <w:pPr>
        <w:pStyle w:val="Sinespaciado"/>
        <w:jc w:val="both"/>
        <w:rPr>
          <w:b/>
          <w:bCs/>
          <w:i/>
          <w:iCs/>
        </w:rPr>
      </w:pPr>
    </w:p>
    <w:p w14:paraId="1B328523" w14:textId="77777777" w:rsidR="009919DB" w:rsidRPr="00835574" w:rsidRDefault="009919DB" w:rsidP="009919DB">
      <w:pPr>
        <w:pStyle w:val="Sinespaciado"/>
        <w:jc w:val="both"/>
        <w:rPr>
          <w:i/>
          <w:iCs/>
        </w:rPr>
      </w:pPr>
      <w:r w:rsidRPr="00835574">
        <w:rPr>
          <w:i/>
          <w:iCs/>
        </w:rPr>
        <w:t>Crear una cultura y sentido de responsabilidad e institucionalidad en el personal que labora en las diferentes áreas de este Órgano Jurisdiccional, para hacer uso racional del material de oficina, tinta y tóner de impresoras, material de limpieza, suministro de combustible y uso adecuado de los vehículos oficiales, por lo que los directores, coordinadores, jefes de unidad, jefes de departamento, deberán establecer medidas de ahorro al interior de su área.</w:t>
      </w:r>
    </w:p>
    <w:p w14:paraId="7C2A4463" w14:textId="77777777" w:rsidR="009919DB" w:rsidRPr="00835574" w:rsidRDefault="009919DB" w:rsidP="009919DB">
      <w:pPr>
        <w:pStyle w:val="Sinespaciado"/>
        <w:jc w:val="both"/>
        <w:rPr>
          <w:i/>
          <w:iCs/>
        </w:rPr>
      </w:pPr>
    </w:p>
    <w:p w14:paraId="7C8E7E66" w14:textId="77777777" w:rsidR="009919DB" w:rsidRPr="00835574" w:rsidRDefault="009919DB" w:rsidP="009919DB">
      <w:pPr>
        <w:pStyle w:val="Sinespaciado"/>
        <w:jc w:val="both"/>
        <w:rPr>
          <w:b/>
          <w:bCs/>
          <w:i/>
          <w:iCs/>
        </w:rPr>
      </w:pPr>
      <w:r w:rsidRPr="00835574">
        <w:rPr>
          <w:b/>
          <w:bCs/>
          <w:i/>
          <w:iCs/>
        </w:rPr>
        <w:t xml:space="preserve">    Servicios generales</w:t>
      </w:r>
    </w:p>
    <w:p w14:paraId="019419C0" w14:textId="77777777" w:rsidR="009919DB" w:rsidRPr="00835574" w:rsidRDefault="009919DB" w:rsidP="009919DB">
      <w:pPr>
        <w:pStyle w:val="Sinespaciado"/>
        <w:jc w:val="both"/>
        <w:rPr>
          <w:b/>
          <w:bCs/>
          <w:i/>
          <w:iCs/>
        </w:rPr>
      </w:pPr>
    </w:p>
    <w:p w14:paraId="29AC969F" w14:textId="77777777" w:rsidR="009919DB" w:rsidRPr="00835574" w:rsidRDefault="009919DB" w:rsidP="009919DB">
      <w:pPr>
        <w:pStyle w:val="Sinespaciado"/>
        <w:jc w:val="both"/>
        <w:rPr>
          <w:i/>
          <w:iCs/>
        </w:rPr>
      </w:pPr>
      <w:r w:rsidRPr="00835574">
        <w:rPr>
          <w:i/>
          <w:iCs/>
        </w:rPr>
        <w:t>Implementar mecanismo de control para el ahorro de energía eléctrica, agua, teléfono, mantenimiento de vehículos oficiales, por lo que los Magistrados, Secretario General de Acuerdos, Coordinadores de ponencias, Directores, Jefes de Unidad y Jefes de Departamento deberán establecer medidas de ahorro al interior del área de su responsabilidad, por mencionar algunos: apagar las lámparas que no se usen, apagar debidamente equipos de cómputo, los gastos por el cumplimiento de comisiones oficiales: viáticos, pasajes aéreos que se cumplan mediante los criterios de austeridad, además que sean comisiones oficiales autorizadas y justificadas y en estricto apego con las funciones del cargo, no contraer ningún compromiso de gasto si no se cuenta con la disponibilidad presupuestal.</w:t>
      </w:r>
    </w:p>
    <w:p w14:paraId="5D1B0A42" w14:textId="77777777" w:rsidR="009919DB" w:rsidRPr="00835574" w:rsidRDefault="009919DB" w:rsidP="009919DB">
      <w:pPr>
        <w:pStyle w:val="Sinespaciado"/>
        <w:jc w:val="both"/>
        <w:rPr>
          <w:i/>
          <w:iCs/>
        </w:rPr>
      </w:pPr>
    </w:p>
    <w:p w14:paraId="716569AA" w14:textId="77777777" w:rsidR="009919DB" w:rsidRPr="00835574" w:rsidRDefault="009919DB" w:rsidP="009919DB">
      <w:pPr>
        <w:pStyle w:val="Sinespaciado"/>
        <w:jc w:val="both"/>
        <w:rPr>
          <w:b/>
          <w:bCs/>
          <w:i/>
          <w:iCs/>
        </w:rPr>
      </w:pPr>
      <w:r w:rsidRPr="00835574">
        <w:rPr>
          <w:b/>
          <w:bCs/>
          <w:i/>
          <w:iCs/>
        </w:rPr>
        <w:t xml:space="preserve">   Servicios personales</w:t>
      </w:r>
    </w:p>
    <w:p w14:paraId="5A93A5A1" w14:textId="77777777" w:rsidR="009919DB" w:rsidRPr="00835574" w:rsidRDefault="009919DB" w:rsidP="009919DB">
      <w:pPr>
        <w:pStyle w:val="Sinespaciado"/>
        <w:jc w:val="both"/>
        <w:rPr>
          <w:b/>
          <w:bCs/>
          <w:i/>
          <w:iCs/>
        </w:rPr>
      </w:pPr>
    </w:p>
    <w:p w14:paraId="6D45E987" w14:textId="16E07A9E" w:rsidR="009919DB" w:rsidRDefault="009919DB" w:rsidP="009919DB">
      <w:pPr>
        <w:pStyle w:val="Sinespaciado"/>
        <w:jc w:val="both"/>
        <w:rPr>
          <w:i/>
          <w:iCs/>
        </w:rPr>
      </w:pPr>
      <w:r w:rsidRPr="00835574">
        <w:rPr>
          <w:i/>
          <w:iCs/>
        </w:rPr>
        <w:t>Crear las mejores y posibles condiciones laborales para optimizar su rendimiento y maximizar sus horas laborales y con esto evitar el pago de horas extras o la contratación de personal por honorarios.</w:t>
      </w:r>
    </w:p>
    <w:p w14:paraId="3CCCC2E9" w14:textId="77777777" w:rsidR="00C0462B" w:rsidRPr="00835574" w:rsidRDefault="00C0462B" w:rsidP="009919DB">
      <w:pPr>
        <w:pStyle w:val="Sinespaciado"/>
        <w:jc w:val="both"/>
        <w:rPr>
          <w:i/>
          <w:iCs/>
        </w:rPr>
      </w:pPr>
    </w:p>
    <w:p w14:paraId="2189689A" w14:textId="77777777" w:rsidR="009919DB" w:rsidRPr="00835574" w:rsidRDefault="009919DB" w:rsidP="009919DB">
      <w:pPr>
        <w:pStyle w:val="Sinespaciado"/>
        <w:jc w:val="both"/>
        <w:rPr>
          <w:b/>
          <w:bCs/>
          <w:i/>
          <w:iCs/>
        </w:rPr>
      </w:pPr>
      <w:r w:rsidRPr="00835574">
        <w:rPr>
          <w:b/>
          <w:bCs/>
          <w:i/>
          <w:iCs/>
        </w:rPr>
        <w:t xml:space="preserve">   Transparencia</w:t>
      </w:r>
    </w:p>
    <w:p w14:paraId="2F7EAF1E" w14:textId="77777777" w:rsidR="009919DB" w:rsidRPr="00835574" w:rsidRDefault="009919DB" w:rsidP="009919DB">
      <w:pPr>
        <w:pStyle w:val="Sinespaciado"/>
        <w:jc w:val="both"/>
        <w:rPr>
          <w:b/>
          <w:bCs/>
          <w:i/>
          <w:iCs/>
        </w:rPr>
      </w:pPr>
    </w:p>
    <w:p w14:paraId="2A10DD34" w14:textId="77777777" w:rsidR="009919DB" w:rsidRPr="00835574" w:rsidRDefault="009919DB" w:rsidP="009919DB">
      <w:pPr>
        <w:pStyle w:val="Sinespaciado"/>
        <w:jc w:val="both"/>
        <w:rPr>
          <w:i/>
          <w:iCs/>
        </w:rPr>
      </w:pPr>
      <w:r w:rsidRPr="00835574">
        <w:rPr>
          <w:i/>
          <w:iCs/>
        </w:rPr>
        <w:t>Transparentar el ejercicio del gasto público a la población en las vías y medios que indique la legislación en materia de Transparencia y Acceso a la Información Pública, con veracidad y oportunidad.</w:t>
      </w:r>
    </w:p>
    <w:p w14:paraId="6402DC6B" w14:textId="77777777" w:rsidR="009919DB" w:rsidRPr="00835574" w:rsidRDefault="009919DB" w:rsidP="009919DB">
      <w:pPr>
        <w:pStyle w:val="Sinespaciado"/>
        <w:jc w:val="both"/>
        <w:rPr>
          <w:i/>
          <w:iCs/>
        </w:rPr>
      </w:pPr>
    </w:p>
    <w:p w14:paraId="5CCEEE7A" w14:textId="77777777" w:rsidR="009919DB" w:rsidRPr="00835574" w:rsidRDefault="009919DB" w:rsidP="009919DB">
      <w:pPr>
        <w:pStyle w:val="Sinespaciado"/>
        <w:jc w:val="both"/>
        <w:rPr>
          <w:b/>
          <w:bCs/>
          <w:i/>
          <w:iCs/>
        </w:rPr>
      </w:pPr>
      <w:r w:rsidRPr="00835574">
        <w:rPr>
          <w:b/>
          <w:bCs/>
          <w:i/>
          <w:iCs/>
        </w:rPr>
        <w:t xml:space="preserve">   Metas</w:t>
      </w:r>
    </w:p>
    <w:p w14:paraId="099FB6F5" w14:textId="77777777" w:rsidR="009919DB" w:rsidRPr="00835574" w:rsidRDefault="009919DB" w:rsidP="009919DB">
      <w:pPr>
        <w:pStyle w:val="Sinespaciado"/>
        <w:jc w:val="both"/>
        <w:rPr>
          <w:b/>
          <w:bCs/>
          <w:i/>
          <w:iCs/>
        </w:rPr>
      </w:pPr>
    </w:p>
    <w:p w14:paraId="4F3A996A" w14:textId="77777777" w:rsidR="009919DB" w:rsidRPr="00835574" w:rsidRDefault="009919DB" w:rsidP="009919DB">
      <w:pPr>
        <w:pStyle w:val="Sinespaciado"/>
        <w:jc w:val="both"/>
        <w:rPr>
          <w:i/>
          <w:iCs/>
        </w:rPr>
      </w:pPr>
      <w:r w:rsidRPr="00835574">
        <w:rPr>
          <w:i/>
          <w:iCs/>
        </w:rPr>
        <w:t>Hacer llegar a la población oaxaqueña mediante programas de difusión la Ley de Justicia Administrativa y los servicios que presta este Tribunal. Consolidar el desarrollo de páginas web, Portales y líneas telefónicas, así como fomento a los medios de comunicación orales, escritos y electrónicos.</w:t>
      </w:r>
    </w:p>
    <w:p w14:paraId="161C4B21" w14:textId="77777777" w:rsidR="009919DB" w:rsidRPr="00835574" w:rsidRDefault="009919DB" w:rsidP="009919DB">
      <w:pPr>
        <w:pStyle w:val="Sinespaciado"/>
        <w:jc w:val="both"/>
        <w:rPr>
          <w:i/>
          <w:iCs/>
        </w:rPr>
      </w:pPr>
    </w:p>
    <w:p w14:paraId="567AFFBD" w14:textId="77777777" w:rsidR="009919DB" w:rsidRPr="00835574" w:rsidRDefault="009919DB" w:rsidP="009919DB">
      <w:pPr>
        <w:pStyle w:val="Sinespaciado"/>
        <w:jc w:val="both"/>
        <w:rPr>
          <w:i/>
          <w:iCs/>
        </w:rPr>
      </w:pPr>
      <w:r w:rsidRPr="00835574">
        <w:rPr>
          <w:i/>
          <w:iCs/>
        </w:rPr>
        <w:t>Profesionalizar al personal en materia de Justicia Administrativa mediante la capacitación permanente.</w:t>
      </w:r>
    </w:p>
    <w:p w14:paraId="47B1CBD4" w14:textId="77777777" w:rsidR="009919DB" w:rsidRPr="00835574" w:rsidRDefault="009919DB" w:rsidP="009919DB">
      <w:pPr>
        <w:pStyle w:val="Sinespaciado"/>
        <w:jc w:val="both"/>
        <w:rPr>
          <w:i/>
          <w:iCs/>
        </w:rPr>
      </w:pPr>
    </w:p>
    <w:p w14:paraId="32BDCDAA" w14:textId="5ED747CF" w:rsidR="009919DB" w:rsidRPr="00835574" w:rsidRDefault="009919DB" w:rsidP="00B0171B">
      <w:pPr>
        <w:pStyle w:val="Sinespaciado"/>
        <w:jc w:val="both"/>
        <w:rPr>
          <w:i/>
          <w:iCs/>
        </w:rPr>
      </w:pPr>
      <w:r w:rsidRPr="00835574">
        <w:rPr>
          <w:i/>
          <w:iCs/>
        </w:rPr>
        <w:t>Que la ciudadanía conozca los servicios que se otorgan en la procuración de justicia, así como la aplicación de sus recursos fomentando la cultura de la denuncia, la garantía de seguridad y certeza jurídica de los denunciantes.</w:t>
      </w:r>
    </w:p>
    <w:p w14:paraId="03EAAB9E" w14:textId="77777777" w:rsidR="00B0171B" w:rsidRPr="00835574" w:rsidRDefault="00B0171B" w:rsidP="00B0171B">
      <w:pPr>
        <w:pStyle w:val="Sinespaciado"/>
        <w:jc w:val="both"/>
        <w:rPr>
          <w:i/>
          <w:iCs/>
        </w:rPr>
      </w:pPr>
    </w:p>
    <w:p w14:paraId="0BA6EF2B" w14:textId="77777777" w:rsidR="009919DB" w:rsidRPr="00835574" w:rsidRDefault="009919DB" w:rsidP="009919DB">
      <w:pPr>
        <w:pStyle w:val="Sinespaciado"/>
        <w:numPr>
          <w:ilvl w:val="0"/>
          <w:numId w:val="4"/>
        </w:numPr>
        <w:jc w:val="both"/>
        <w:rPr>
          <w:b/>
          <w:bCs/>
          <w:i/>
          <w:iCs/>
        </w:rPr>
      </w:pPr>
      <w:r w:rsidRPr="00835574">
        <w:rPr>
          <w:b/>
          <w:bCs/>
          <w:i/>
          <w:iCs/>
        </w:rPr>
        <w:t>UNIVERSIDAD AUTÓNOMA COMUNAL DE OAXACA</w:t>
      </w:r>
    </w:p>
    <w:p w14:paraId="1E31FD1F" w14:textId="77777777" w:rsidR="009919DB" w:rsidRPr="00835574" w:rsidRDefault="009919DB" w:rsidP="009919DB">
      <w:pPr>
        <w:pStyle w:val="Sinespaciado"/>
        <w:jc w:val="both"/>
        <w:rPr>
          <w:b/>
          <w:bCs/>
          <w:i/>
          <w:iCs/>
        </w:rPr>
      </w:pPr>
    </w:p>
    <w:p w14:paraId="7EC84016" w14:textId="77777777" w:rsidR="009919DB" w:rsidRPr="00835574" w:rsidRDefault="009919DB" w:rsidP="009919DB">
      <w:pPr>
        <w:pStyle w:val="Sinespaciado"/>
        <w:jc w:val="both"/>
        <w:rPr>
          <w:i/>
          <w:iCs/>
        </w:rPr>
      </w:pPr>
      <w:r w:rsidRPr="00835574">
        <w:rPr>
          <w:b/>
          <w:bCs/>
          <w:i/>
          <w:iCs/>
        </w:rPr>
        <w:t>MISIÓN:</w:t>
      </w:r>
      <w:r w:rsidRPr="00835574">
        <w:rPr>
          <w:i/>
          <w:iCs/>
        </w:rPr>
        <w:t xml:space="preserve"> </w:t>
      </w:r>
    </w:p>
    <w:p w14:paraId="634F842D" w14:textId="77777777" w:rsidR="009919DB" w:rsidRPr="00835574" w:rsidRDefault="009919DB" w:rsidP="009919DB">
      <w:pPr>
        <w:pStyle w:val="Sinespaciado"/>
        <w:jc w:val="both"/>
        <w:rPr>
          <w:i/>
          <w:iCs/>
        </w:rPr>
      </w:pPr>
    </w:p>
    <w:p w14:paraId="7C8E99AC" w14:textId="77777777" w:rsidR="009919DB" w:rsidRPr="00835574" w:rsidRDefault="009919DB" w:rsidP="009919DB">
      <w:pPr>
        <w:pStyle w:val="Sinespaciado"/>
        <w:jc w:val="both"/>
        <w:rPr>
          <w:i/>
          <w:iCs/>
        </w:rPr>
      </w:pPr>
      <w:r w:rsidRPr="00835574">
        <w:rPr>
          <w:i/>
          <w:iCs/>
        </w:rPr>
        <w:t xml:space="preserve">La UACO, como institución de educación superior y en coincidencia con los principios de Comunalidad que guían su labor, tiene como fin primordial generar educación de nivel licenciatura, posgrado, especialización y actualización; además investigación y difusión de saberes. </w:t>
      </w:r>
    </w:p>
    <w:p w14:paraId="05AA47D6" w14:textId="77777777" w:rsidR="009919DB" w:rsidRPr="00835574" w:rsidRDefault="009919DB" w:rsidP="009919DB">
      <w:pPr>
        <w:pStyle w:val="Sinespaciado"/>
        <w:jc w:val="both"/>
        <w:rPr>
          <w:i/>
          <w:iCs/>
        </w:rPr>
      </w:pPr>
    </w:p>
    <w:p w14:paraId="70928307" w14:textId="77777777" w:rsidR="009919DB" w:rsidRPr="00835574" w:rsidRDefault="009919DB" w:rsidP="009919DB">
      <w:pPr>
        <w:pStyle w:val="Sinespaciado"/>
        <w:jc w:val="both"/>
        <w:rPr>
          <w:i/>
          <w:iCs/>
        </w:rPr>
      </w:pPr>
      <w:r w:rsidRPr="00835574">
        <w:rPr>
          <w:i/>
          <w:iCs/>
        </w:rPr>
        <w:t>La UACO para cumplir su misión fundamenta su actuar en los principios de Comunalidad, Integralidad existencial, Complementariedad, Horizontalidad, Equidad de género, Respeto y Reciprocidad; mediante las estrategias fundadas en la Labor y acción, así como Tequiar y servir.</w:t>
      </w:r>
    </w:p>
    <w:p w14:paraId="3FB99CC7" w14:textId="77777777" w:rsidR="009919DB" w:rsidRPr="00835574" w:rsidRDefault="009919DB" w:rsidP="009919DB">
      <w:pPr>
        <w:pStyle w:val="Sinespaciado"/>
        <w:jc w:val="both"/>
        <w:rPr>
          <w:i/>
          <w:iCs/>
        </w:rPr>
      </w:pPr>
    </w:p>
    <w:p w14:paraId="4EC0543C" w14:textId="77777777" w:rsidR="009919DB" w:rsidRPr="00835574" w:rsidRDefault="009919DB" w:rsidP="009919DB">
      <w:pPr>
        <w:pStyle w:val="Sinespaciado"/>
        <w:jc w:val="both"/>
        <w:rPr>
          <w:b/>
          <w:bCs/>
          <w:i/>
          <w:iCs/>
        </w:rPr>
      </w:pPr>
      <w:r w:rsidRPr="00835574">
        <w:rPr>
          <w:b/>
          <w:bCs/>
          <w:i/>
          <w:iCs/>
        </w:rPr>
        <w:t>VISIÓN:</w:t>
      </w:r>
    </w:p>
    <w:p w14:paraId="436C68C0" w14:textId="77777777" w:rsidR="009919DB" w:rsidRPr="00835574" w:rsidRDefault="009919DB" w:rsidP="009919DB">
      <w:pPr>
        <w:pStyle w:val="Sinespaciado"/>
        <w:jc w:val="both"/>
        <w:rPr>
          <w:b/>
          <w:bCs/>
          <w:i/>
          <w:iCs/>
        </w:rPr>
      </w:pPr>
    </w:p>
    <w:p w14:paraId="30FB5742" w14:textId="77777777" w:rsidR="009919DB" w:rsidRPr="00835574" w:rsidRDefault="009919DB" w:rsidP="009919DB">
      <w:pPr>
        <w:pStyle w:val="Sinespaciado"/>
        <w:jc w:val="both"/>
        <w:rPr>
          <w:i/>
          <w:iCs/>
        </w:rPr>
      </w:pPr>
      <w:r w:rsidRPr="00835574">
        <w:rPr>
          <w:i/>
          <w:iCs/>
        </w:rPr>
        <w:t>Impartir la educación superior de licenciatura y de posgrado, cursos de actualización, en sus modalidades escolar y extra escolar formando profesionales con sensibilidad y conocimientos culturales y comunitarios.</w:t>
      </w:r>
    </w:p>
    <w:p w14:paraId="354F39B9" w14:textId="77777777" w:rsidR="009919DB" w:rsidRPr="00835574" w:rsidRDefault="009919DB" w:rsidP="009919DB">
      <w:pPr>
        <w:pStyle w:val="Sinespaciado"/>
        <w:jc w:val="both"/>
        <w:rPr>
          <w:i/>
          <w:iCs/>
        </w:rPr>
      </w:pPr>
    </w:p>
    <w:p w14:paraId="3B663145" w14:textId="77777777" w:rsidR="009919DB" w:rsidRPr="00835574" w:rsidRDefault="009919DB" w:rsidP="009919DB">
      <w:pPr>
        <w:pStyle w:val="Sinespaciado"/>
        <w:jc w:val="both"/>
        <w:rPr>
          <w:i/>
          <w:iCs/>
        </w:rPr>
      </w:pPr>
      <w:r w:rsidRPr="00835574">
        <w:rPr>
          <w:b/>
          <w:bCs/>
          <w:i/>
          <w:iCs/>
        </w:rPr>
        <w:t>OBJETIVO:</w:t>
      </w:r>
      <w:r w:rsidRPr="00835574">
        <w:rPr>
          <w:i/>
          <w:iCs/>
        </w:rPr>
        <w:t xml:space="preserve"> </w:t>
      </w:r>
    </w:p>
    <w:p w14:paraId="5A7CED58" w14:textId="77777777" w:rsidR="009919DB" w:rsidRPr="00835574" w:rsidRDefault="009919DB" w:rsidP="009919DB">
      <w:pPr>
        <w:pStyle w:val="Sinespaciado"/>
        <w:jc w:val="both"/>
        <w:rPr>
          <w:i/>
          <w:iCs/>
        </w:rPr>
      </w:pPr>
    </w:p>
    <w:p w14:paraId="05AA3B8A" w14:textId="77777777" w:rsidR="009919DB" w:rsidRPr="00835574" w:rsidRDefault="009919DB" w:rsidP="009919DB">
      <w:pPr>
        <w:pStyle w:val="Sinespaciado"/>
        <w:jc w:val="both"/>
        <w:rPr>
          <w:i/>
          <w:iCs/>
        </w:rPr>
      </w:pPr>
      <w:r w:rsidRPr="00835574">
        <w:rPr>
          <w:i/>
          <w:iCs/>
        </w:rPr>
        <w:t>La Universidad tiene como objeto y fin, el de impartir educación superior en grados de Licenciatura, Posgrado, especialización, actualización, en sus modalidades escolar y extra escolar y el reconocimiento de saberes, que coincidan con los principios que guían su labor.</w:t>
      </w:r>
    </w:p>
    <w:p w14:paraId="6EBAC631" w14:textId="77777777" w:rsidR="009919DB" w:rsidRPr="00835574" w:rsidRDefault="009919DB" w:rsidP="009919DB">
      <w:pPr>
        <w:pStyle w:val="Sinespaciado"/>
        <w:jc w:val="both"/>
        <w:rPr>
          <w:i/>
          <w:iCs/>
        </w:rPr>
      </w:pPr>
    </w:p>
    <w:p w14:paraId="0E523453" w14:textId="77777777" w:rsidR="009919DB" w:rsidRPr="00835574" w:rsidRDefault="009919DB" w:rsidP="009919DB">
      <w:pPr>
        <w:pStyle w:val="Sinespaciado"/>
        <w:jc w:val="both"/>
        <w:rPr>
          <w:i/>
          <w:iCs/>
        </w:rPr>
      </w:pPr>
      <w:r w:rsidRPr="00835574">
        <w:rPr>
          <w:i/>
          <w:iCs/>
        </w:rPr>
        <w:t>Para el fortalecimiento de la gestión universitaria se plantea la siguiente alineación a los planes de desarrollo federal, estatal, sectorial e institucional.</w:t>
      </w:r>
    </w:p>
    <w:p w14:paraId="02AE04A3" w14:textId="77777777" w:rsidR="009919DB" w:rsidRPr="00835574" w:rsidRDefault="009919DB" w:rsidP="009919DB">
      <w:pPr>
        <w:pStyle w:val="Sinespaciado"/>
        <w:jc w:val="both"/>
        <w:rPr>
          <w:i/>
          <w:iCs/>
        </w:rPr>
      </w:pPr>
    </w:p>
    <w:p w14:paraId="68F48255" w14:textId="77777777" w:rsidR="009919DB" w:rsidRPr="00835574" w:rsidRDefault="009919DB" w:rsidP="009919DB">
      <w:pPr>
        <w:pStyle w:val="Sinespaciado"/>
        <w:jc w:val="both"/>
        <w:rPr>
          <w:b/>
          <w:bCs/>
          <w:i/>
          <w:iCs/>
          <w:smallCaps/>
          <w:spacing w:val="5"/>
        </w:rPr>
      </w:pPr>
      <w:r w:rsidRPr="00835574">
        <w:rPr>
          <w:b/>
          <w:bCs/>
          <w:i/>
          <w:iCs/>
          <w:smallCaps/>
          <w:spacing w:val="5"/>
        </w:rPr>
        <w:lastRenderedPageBreak/>
        <w:t>Alineación al Plan Nacional de Desarrollo  2019 – 2024</w:t>
      </w:r>
    </w:p>
    <w:p w14:paraId="2B4FB8A3" w14:textId="77777777" w:rsidR="009919DB" w:rsidRPr="00835574" w:rsidRDefault="009919DB" w:rsidP="009919DB">
      <w:pPr>
        <w:pStyle w:val="Sinespaciado"/>
        <w:jc w:val="both"/>
        <w:rPr>
          <w:i/>
          <w:iCs/>
        </w:rPr>
      </w:pPr>
      <w:r w:rsidRPr="00835574">
        <w:rPr>
          <w:b/>
          <w:i/>
          <w:iCs/>
        </w:rPr>
        <w:t>Política</w:t>
      </w:r>
      <w:r w:rsidRPr="00835574">
        <w:rPr>
          <w:i/>
          <w:iCs/>
        </w:rPr>
        <w:t xml:space="preserve">: 2.  Política Social. </w:t>
      </w:r>
    </w:p>
    <w:p w14:paraId="2C6B21AE" w14:textId="77777777" w:rsidR="009919DB" w:rsidRPr="00835574" w:rsidRDefault="009919DB" w:rsidP="009919DB">
      <w:pPr>
        <w:pStyle w:val="Sinespaciado"/>
        <w:jc w:val="both"/>
        <w:rPr>
          <w:i/>
          <w:iCs/>
        </w:rPr>
      </w:pPr>
    </w:p>
    <w:p w14:paraId="24F7C93C" w14:textId="77777777" w:rsidR="009919DB" w:rsidRPr="00835574" w:rsidRDefault="009919DB" w:rsidP="009919DB">
      <w:pPr>
        <w:pStyle w:val="Sinespaciado"/>
        <w:jc w:val="both"/>
        <w:rPr>
          <w:i/>
          <w:iCs/>
        </w:rPr>
      </w:pPr>
      <w:r w:rsidRPr="00835574">
        <w:rPr>
          <w:b/>
          <w:i/>
          <w:iCs/>
        </w:rPr>
        <w:t>Objetivo</w:t>
      </w:r>
      <w:r w:rsidRPr="00835574">
        <w:rPr>
          <w:i/>
          <w:iCs/>
        </w:rPr>
        <w:t>: 2. Garantizar el derecho a la población joven en México a una Educación Comunal de Excelencia, pertinente y relevante en los diferentes tipos, niveles y modalidades del Sistema Educativo Nacional.</w:t>
      </w:r>
    </w:p>
    <w:p w14:paraId="50EFBF0A" w14:textId="77777777" w:rsidR="009919DB" w:rsidRPr="00835574" w:rsidRDefault="009919DB" w:rsidP="009919DB">
      <w:pPr>
        <w:pStyle w:val="Sinespaciado"/>
        <w:jc w:val="both"/>
        <w:rPr>
          <w:i/>
          <w:iCs/>
        </w:rPr>
      </w:pPr>
    </w:p>
    <w:p w14:paraId="5FF2C207" w14:textId="13A6C3BC" w:rsidR="00B0171B" w:rsidRDefault="009919DB" w:rsidP="009919DB">
      <w:pPr>
        <w:pStyle w:val="Sinespaciado"/>
        <w:jc w:val="both"/>
        <w:rPr>
          <w:i/>
          <w:iCs/>
        </w:rPr>
      </w:pPr>
      <w:r w:rsidRPr="00835574">
        <w:rPr>
          <w:b/>
          <w:i/>
          <w:iCs/>
        </w:rPr>
        <w:t xml:space="preserve">Estrategia: </w:t>
      </w:r>
      <w:r w:rsidRPr="00835574">
        <w:rPr>
          <w:i/>
          <w:iCs/>
        </w:rPr>
        <w:t>2.1. Garantizar que los planes y programas de estudio sean pertinentes a los desafíos del siglo XXI y permitan a jóvenes adquirir las habilidades y conocimientos para su desarrollo comunal integral.</w:t>
      </w:r>
    </w:p>
    <w:p w14:paraId="7FAFD08C" w14:textId="77777777" w:rsidR="00C0462B" w:rsidRPr="00835574" w:rsidRDefault="00C0462B" w:rsidP="009919DB">
      <w:pPr>
        <w:pStyle w:val="Sinespaciado"/>
        <w:jc w:val="both"/>
        <w:rPr>
          <w:i/>
          <w:iCs/>
        </w:rPr>
      </w:pPr>
    </w:p>
    <w:p w14:paraId="36D522B1" w14:textId="6DEAB370" w:rsidR="009919DB" w:rsidRPr="00835574" w:rsidRDefault="009919DB" w:rsidP="009919DB">
      <w:pPr>
        <w:pStyle w:val="Sinespaciado"/>
        <w:jc w:val="both"/>
        <w:rPr>
          <w:i/>
          <w:iCs/>
        </w:rPr>
      </w:pPr>
      <w:r w:rsidRPr="00835574">
        <w:rPr>
          <w:b/>
          <w:i/>
          <w:iCs/>
        </w:rPr>
        <w:t>Líneas de acción</w:t>
      </w:r>
      <w:r w:rsidRPr="00835574">
        <w:rPr>
          <w:i/>
          <w:iCs/>
        </w:rPr>
        <w:t xml:space="preserve">: </w:t>
      </w:r>
    </w:p>
    <w:p w14:paraId="29A0B605" w14:textId="77777777" w:rsidR="009919DB" w:rsidRPr="00835574" w:rsidRDefault="009919DB" w:rsidP="009919DB">
      <w:pPr>
        <w:pStyle w:val="Sinespaciado"/>
        <w:jc w:val="both"/>
        <w:rPr>
          <w:i/>
          <w:iCs/>
        </w:rPr>
      </w:pPr>
    </w:p>
    <w:p w14:paraId="1573AFDE" w14:textId="77777777" w:rsidR="009919DB" w:rsidRPr="00835574" w:rsidRDefault="009919DB" w:rsidP="009919DB">
      <w:pPr>
        <w:pStyle w:val="Sinespaciado"/>
        <w:jc w:val="both"/>
        <w:rPr>
          <w:i/>
          <w:iCs/>
        </w:rPr>
      </w:pPr>
      <w:r w:rsidRPr="00835574">
        <w:rPr>
          <w:i/>
          <w:iCs/>
        </w:rPr>
        <w:t>2.1.2 Adecuar los planes y programas de estudio para garantizar su pertinencia y relevancia, con especial atención a la diversidad étnica, cultural y lingüística del país, así como con perspectiva de género y considerando las necesidades de las personas con discapacidad.</w:t>
      </w:r>
    </w:p>
    <w:p w14:paraId="122E8728" w14:textId="77777777" w:rsidR="009919DB" w:rsidRPr="00835574" w:rsidRDefault="009919DB" w:rsidP="009919DB">
      <w:pPr>
        <w:pStyle w:val="Sinespaciado"/>
        <w:jc w:val="both"/>
        <w:rPr>
          <w:i/>
          <w:iCs/>
        </w:rPr>
      </w:pPr>
    </w:p>
    <w:p w14:paraId="1E03C327" w14:textId="77777777" w:rsidR="009919DB" w:rsidRPr="00835574" w:rsidRDefault="009919DB" w:rsidP="009919DB">
      <w:pPr>
        <w:pStyle w:val="Sinespaciado"/>
        <w:jc w:val="both"/>
        <w:rPr>
          <w:i/>
          <w:iCs/>
        </w:rPr>
      </w:pPr>
      <w:r w:rsidRPr="00835574">
        <w:rPr>
          <w:i/>
          <w:iCs/>
        </w:rPr>
        <w:t>2.1.3 Incentivar que los planes de desarrollo de las instituciones de educación superior de todos los subsistemas refuercen el compromiso social con sus comunidades, en los ámbitos local, regional y nacional.</w:t>
      </w:r>
    </w:p>
    <w:p w14:paraId="11627CCC" w14:textId="77777777" w:rsidR="009919DB" w:rsidRPr="00835574" w:rsidRDefault="009919DB" w:rsidP="009919DB">
      <w:pPr>
        <w:pStyle w:val="Sinespaciado"/>
        <w:jc w:val="both"/>
        <w:rPr>
          <w:i/>
          <w:iCs/>
        </w:rPr>
      </w:pPr>
    </w:p>
    <w:p w14:paraId="0A5A587B" w14:textId="1188C256" w:rsidR="009919DB" w:rsidRPr="00835574" w:rsidRDefault="009919DB" w:rsidP="009919DB">
      <w:pPr>
        <w:pStyle w:val="Sinespaciado"/>
        <w:jc w:val="both"/>
        <w:rPr>
          <w:i/>
          <w:iCs/>
        </w:rPr>
      </w:pPr>
      <w:r w:rsidRPr="00835574">
        <w:rPr>
          <w:i/>
          <w:iCs/>
        </w:rPr>
        <w:t>2.1.4 Profundizar la vinculación del sector educativo con el productivo</w:t>
      </w:r>
      <w:r w:rsidR="00857730" w:rsidRPr="00835574">
        <w:rPr>
          <w:i/>
          <w:iCs/>
        </w:rPr>
        <w:t>,</w:t>
      </w:r>
      <w:r w:rsidRPr="00835574">
        <w:rPr>
          <w:i/>
          <w:iCs/>
        </w:rPr>
        <w:t xml:space="preserve"> a partir del desarrollo de esquemas de coordinación y cooperación entre ambos sectores, para asegurar la pertinencia de los planes y programas de estudio.</w:t>
      </w:r>
    </w:p>
    <w:p w14:paraId="47012D44" w14:textId="77777777" w:rsidR="009919DB" w:rsidRPr="00835574" w:rsidRDefault="009919DB" w:rsidP="009919DB">
      <w:pPr>
        <w:pStyle w:val="Sinespaciado"/>
        <w:jc w:val="both"/>
        <w:rPr>
          <w:i/>
          <w:iCs/>
        </w:rPr>
      </w:pPr>
    </w:p>
    <w:p w14:paraId="13326797" w14:textId="77777777" w:rsidR="009919DB" w:rsidRPr="00835574" w:rsidRDefault="009919DB" w:rsidP="009919DB">
      <w:pPr>
        <w:pStyle w:val="Sinespaciado"/>
        <w:jc w:val="both"/>
        <w:rPr>
          <w:i/>
          <w:iCs/>
        </w:rPr>
      </w:pPr>
      <w:r w:rsidRPr="00835574">
        <w:rPr>
          <w:i/>
          <w:iCs/>
        </w:rPr>
        <w:t>2.1.5 Promover, con pleno respeto a la autonomía universitaria, procesos de revisión y actualización para la transformación curricular en la educación superior, centrada en la formación integral de las y los estudiantes, con la participación de los actores involucrados en los subsistemas e instituciones.</w:t>
      </w:r>
    </w:p>
    <w:p w14:paraId="0FBCD630" w14:textId="77777777" w:rsidR="009919DB" w:rsidRPr="00835574" w:rsidRDefault="009919DB" w:rsidP="009919DB">
      <w:pPr>
        <w:pStyle w:val="Sinespaciado"/>
        <w:jc w:val="both"/>
        <w:rPr>
          <w:i/>
          <w:iCs/>
        </w:rPr>
      </w:pPr>
    </w:p>
    <w:p w14:paraId="5A71AA1B" w14:textId="77777777" w:rsidR="009919DB" w:rsidRPr="00835574" w:rsidRDefault="009919DB" w:rsidP="009919DB">
      <w:pPr>
        <w:pStyle w:val="Sinespaciado"/>
        <w:jc w:val="both"/>
        <w:rPr>
          <w:i/>
          <w:iCs/>
        </w:rPr>
      </w:pPr>
      <w:r w:rsidRPr="00835574">
        <w:rPr>
          <w:i/>
          <w:iCs/>
        </w:rPr>
        <w:t>2.1.6 Armonizar los planes y programas de estudio de los servicios educativos de todos los tipos niveles y modalidades para facilitar la transición y movilidad entre los mismos.</w:t>
      </w:r>
    </w:p>
    <w:p w14:paraId="5597B043" w14:textId="77777777" w:rsidR="009919DB" w:rsidRPr="00835574" w:rsidRDefault="009919DB" w:rsidP="009919DB">
      <w:pPr>
        <w:pStyle w:val="Sinespaciado"/>
        <w:jc w:val="both"/>
        <w:rPr>
          <w:i/>
          <w:iCs/>
        </w:rPr>
      </w:pPr>
    </w:p>
    <w:p w14:paraId="3751EE1B" w14:textId="3F72D677" w:rsidR="009919DB" w:rsidRDefault="009919DB" w:rsidP="009919DB">
      <w:pPr>
        <w:pStyle w:val="Sinespaciado"/>
        <w:jc w:val="both"/>
        <w:rPr>
          <w:i/>
          <w:iCs/>
        </w:rPr>
      </w:pPr>
      <w:r w:rsidRPr="00835574">
        <w:rPr>
          <w:i/>
          <w:iCs/>
        </w:rPr>
        <w:t>2.1.7 Consolidar, con la participación de los sectores productivos, el Sistema de Educación Dual en el tipo medio superior y superior que permita desarrollar en las y los jóvenes habilidades pertinentes y ofrecer opciones de incorporación al mercado de trabajo.</w:t>
      </w:r>
    </w:p>
    <w:p w14:paraId="339A6DD2" w14:textId="77777777" w:rsidR="00C0462B" w:rsidRPr="00835574" w:rsidRDefault="00C0462B" w:rsidP="009919DB">
      <w:pPr>
        <w:pStyle w:val="Sinespaciado"/>
        <w:jc w:val="both"/>
        <w:rPr>
          <w:i/>
          <w:iCs/>
        </w:rPr>
      </w:pPr>
    </w:p>
    <w:p w14:paraId="65C89CE9" w14:textId="77777777" w:rsidR="00C0462B" w:rsidRDefault="009919DB" w:rsidP="009919DB">
      <w:pPr>
        <w:pStyle w:val="Sinespaciado"/>
        <w:jc w:val="both"/>
        <w:rPr>
          <w:i/>
          <w:iCs/>
        </w:rPr>
      </w:pPr>
      <w:r w:rsidRPr="00835574">
        <w:rPr>
          <w:b/>
          <w:i/>
          <w:iCs/>
        </w:rPr>
        <w:t>Estrategia prioritaria</w:t>
      </w:r>
      <w:r w:rsidRPr="00835574">
        <w:rPr>
          <w:i/>
          <w:iCs/>
        </w:rPr>
        <w:t xml:space="preserve"> </w:t>
      </w:r>
    </w:p>
    <w:p w14:paraId="00D20216" w14:textId="77777777" w:rsidR="00C0462B" w:rsidRDefault="00C0462B" w:rsidP="009919DB">
      <w:pPr>
        <w:pStyle w:val="Sinespaciado"/>
        <w:jc w:val="both"/>
        <w:rPr>
          <w:i/>
          <w:iCs/>
        </w:rPr>
      </w:pPr>
    </w:p>
    <w:p w14:paraId="6E373928" w14:textId="5C388EFA" w:rsidR="009919DB" w:rsidRPr="00835574" w:rsidRDefault="009919DB" w:rsidP="009919DB">
      <w:pPr>
        <w:pStyle w:val="Sinespaciado"/>
        <w:jc w:val="both"/>
        <w:rPr>
          <w:i/>
          <w:iCs/>
        </w:rPr>
      </w:pPr>
      <w:r w:rsidRPr="00835574">
        <w:rPr>
          <w:i/>
          <w:iCs/>
        </w:rPr>
        <w:t>2.2 Instrumentar métodos pedagógicos innovadores, inclusivos y pertinentes, que fortalezcan los procesos de enseñanza y aprendizaje orientados a mejorar la calidad de la educación que reciben las niñas, niños, adolescentes y jóvenes.</w:t>
      </w:r>
    </w:p>
    <w:p w14:paraId="5798B6A8" w14:textId="77777777" w:rsidR="009919DB" w:rsidRPr="00835574" w:rsidRDefault="009919DB" w:rsidP="009919DB">
      <w:pPr>
        <w:pStyle w:val="Sinespaciado"/>
        <w:jc w:val="both"/>
        <w:rPr>
          <w:i/>
          <w:iCs/>
        </w:rPr>
      </w:pPr>
    </w:p>
    <w:p w14:paraId="18A42014" w14:textId="77777777" w:rsidR="009919DB" w:rsidRPr="00835574" w:rsidRDefault="009919DB" w:rsidP="009919DB">
      <w:pPr>
        <w:pStyle w:val="Sinespaciado"/>
        <w:jc w:val="both"/>
        <w:rPr>
          <w:i/>
          <w:iCs/>
        </w:rPr>
      </w:pPr>
      <w:r w:rsidRPr="00835574">
        <w:rPr>
          <w:b/>
          <w:i/>
          <w:iCs/>
        </w:rPr>
        <w:lastRenderedPageBreak/>
        <w:t>Líneas de acción</w:t>
      </w:r>
      <w:r w:rsidRPr="00835574">
        <w:rPr>
          <w:i/>
          <w:iCs/>
        </w:rPr>
        <w:t xml:space="preserve">: </w:t>
      </w:r>
    </w:p>
    <w:p w14:paraId="6B6F58F5" w14:textId="77777777" w:rsidR="009919DB" w:rsidRPr="00835574" w:rsidRDefault="009919DB" w:rsidP="009919DB">
      <w:pPr>
        <w:pStyle w:val="Sinespaciado"/>
        <w:jc w:val="both"/>
        <w:rPr>
          <w:i/>
          <w:iCs/>
        </w:rPr>
      </w:pPr>
    </w:p>
    <w:p w14:paraId="29B4A9F7" w14:textId="77777777" w:rsidR="009919DB" w:rsidRPr="00835574" w:rsidRDefault="009919DB" w:rsidP="009919DB">
      <w:pPr>
        <w:pStyle w:val="Sinespaciado"/>
        <w:jc w:val="both"/>
        <w:rPr>
          <w:i/>
          <w:iCs/>
        </w:rPr>
      </w:pPr>
      <w:r w:rsidRPr="00835574">
        <w:rPr>
          <w:i/>
          <w:iCs/>
        </w:rPr>
        <w:t>2.2.2 Propiciar la adopción de los principios de sostenibilidad social, ambiental y económica, a partir de la comprensión del entorno natural y social en las y los estudiantes y el fomento del pensamiento crítico y científico, apoyándose en experiencias innovadoras, inclusivas y pertinentes de aprendizaje.</w:t>
      </w:r>
    </w:p>
    <w:p w14:paraId="14592A04" w14:textId="77777777" w:rsidR="009919DB" w:rsidRPr="00835574" w:rsidRDefault="009919DB" w:rsidP="009919DB">
      <w:pPr>
        <w:pStyle w:val="Sinespaciado"/>
        <w:jc w:val="both"/>
        <w:rPr>
          <w:i/>
          <w:iCs/>
        </w:rPr>
      </w:pPr>
      <w:r w:rsidRPr="00835574">
        <w:rPr>
          <w:i/>
          <w:iCs/>
        </w:rPr>
        <w:t>2.2.3 Utilizar métodos pedagógicos y didácticos que permitan al personal docente atender, con enfoque de derechos humanos y perspectiva de género, las necesidades de aprendizaje de los educandos, con la participación de pueblos indígenas en la construcción de modelos educativos pluriculturales.</w:t>
      </w:r>
    </w:p>
    <w:p w14:paraId="3BAD8B55" w14:textId="77777777" w:rsidR="009919DB" w:rsidRPr="00835574" w:rsidRDefault="009919DB" w:rsidP="009919DB">
      <w:pPr>
        <w:pStyle w:val="Sinespaciado"/>
        <w:jc w:val="both"/>
        <w:rPr>
          <w:i/>
          <w:iCs/>
        </w:rPr>
      </w:pPr>
    </w:p>
    <w:p w14:paraId="0BC71858" w14:textId="77777777" w:rsidR="009919DB" w:rsidRPr="00835574" w:rsidRDefault="009919DB" w:rsidP="009919DB">
      <w:pPr>
        <w:pStyle w:val="Sinespaciado"/>
        <w:jc w:val="both"/>
        <w:rPr>
          <w:i/>
          <w:iCs/>
        </w:rPr>
      </w:pPr>
      <w:r w:rsidRPr="00835574">
        <w:rPr>
          <w:b/>
          <w:i/>
          <w:iCs/>
        </w:rPr>
        <w:t>Estrategia prioritaria</w:t>
      </w:r>
      <w:r w:rsidRPr="00835574">
        <w:rPr>
          <w:i/>
          <w:iCs/>
        </w:rPr>
        <w:t xml:space="preserve"> 2.7 Garantizar el derecho de la población en México a gozar de los beneficios del desarrollo de la ciencia y la innovación tecnológica, mediante el impulso a la investigación científica, humanística y tecnológica.</w:t>
      </w:r>
    </w:p>
    <w:p w14:paraId="6FFDA0FD" w14:textId="77777777" w:rsidR="009919DB" w:rsidRPr="00835574" w:rsidRDefault="009919DB" w:rsidP="009919DB">
      <w:pPr>
        <w:pStyle w:val="Sinespaciado"/>
        <w:jc w:val="both"/>
        <w:rPr>
          <w:i/>
          <w:iCs/>
        </w:rPr>
      </w:pPr>
    </w:p>
    <w:p w14:paraId="7015EC83" w14:textId="77777777" w:rsidR="009919DB" w:rsidRPr="00835574" w:rsidRDefault="009919DB" w:rsidP="009919DB">
      <w:pPr>
        <w:pStyle w:val="Sinespaciado"/>
        <w:jc w:val="both"/>
        <w:rPr>
          <w:i/>
          <w:iCs/>
        </w:rPr>
      </w:pPr>
      <w:r w:rsidRPr="00835574">
        <w:rPr>
          <w:b/>
          <w:i/>
          <w:iCs/>
        </w:rPr>
        <w:t>Línea (s) de acción</w:t>
      </w:r>
      <w:r w:rsidRPr="00835574">
        <w:rPr>
          <w:i/>
          <w:iCs/>
        </w:rPr>
        <w:t xml:space="preserve">: </w:t>
      </w:r>
    </w:p>
    <w:p w14:paraId="141F5F4B" w14:textId="77777777" w:rsidR="009919DB" w:rsidRPr="00835574" w:rsidRDefault="009919DB" w:rsidP="009919DB">
      <w:pPr>
        <w:pStyle w:val="Sinespaciado"/>
        <w:jc w:val="both"/>
        <w:rPr>
          <w:i/>
          <w:iCs/>
        </w:rPr>
      </w:pPr>
    </w:p>
    <w:p w14:paraId="129783E9" w14:textId="77777777" w:rsidR="009919DB" w:rsidRPr="00835574" w:rsidRDefault="009919DB" w:rsidP="009919DB">
      <w:pPr>
        <w:pStyle w:val="Sinespaciado"/>
        <w:jc w:val="both"/>
        <w:rPr>
          <w:i/>
          <w:iCs/>
        </w:rPr>
      </w:pPr>
      <w:r w:rsidRPr="00835574">
        <w:rPr>
          <w:i/>
          <w:iCs/>
        </w:rPr>
        <w:t>2.7.2 Posicionar a la educación de posgrado como medio para fortalecer la vinculación entre la formación y la investigación que se genera en las IES, con un enfoque que promueva el bienestar social y el desarrollo sostenible.</w:t>
      </w:r>
    </w:p>
    <w:p w14:paraId="59AC35F1" w14:textId="77777777" w:rsidR="009919DB" w:rsidRPr="00835574" w:rsidRDefault="009919DB" w:rsidP="009919DB">
      <w:pPr>
        <w:pStyle w:val="Sinespaciado"/>
        <w:jc w:val="both"/>
        <w:rPr>
          <w:i/>
          <w:iCs/>
        </w:rPr>
      </w:pPr>
    </w:p>
    <w:p w14:paraId="3E9E5683" w14:textId="77777777" w:rsidR="009919DB" w:rsidRPr="00835574" w:rsidRDefault="009919DB" w:rsidP="009919DB">
      <w:pPr>
        <w:pStyle w:val="Sinespaciado"/>
        <w:jc w:val="both"/>
        <w:rPr>
          <w:i/>
          <w:iCs/>
        </w:rPr>
      </w:pPr>
      <w:r w:rsidRPr="00835574">
        <w:rPr>
          <w:i/>
          <w:iCs/>
        </w:rPr>
        <w:t>2.7.3 Fortalecer la formación de las y los jóvenes mediante el desarrollo de proyectos vinculados al sector productivo, brindándoles la oportunidad de adquirir las capacidades prácticas, teóricas y metodológicas para el emprendimiento e inserción laboral.</w:t>
      </w:r>
    </w:p>
    <w:p w14:paraId="5B69B202" w14:textId="77777777" w:rsidR="009919DB" w:rsidRPr="00835574" w:rsidRDefault="009919DB" w:rsidP="009919DB">
      <w:pPr>
        <w:pStyle w:val="Sinespaciado"/>
        <w:jc w:val="both"/>
        <w:rPr>
          <w:i/>
          <w:iCs/>
        </w:rPr>
      </w:pPr>
    </w:p>
    <w:p w14:paraId="00DEEF71" w14:textId="77777777" w:rsidR="009919DB" w:rsidRPr="00835574" w:rsidRDefault="009919DB" w:rsidP="009919DB">
      <w:pPr>
        <w:pStyle w:val="Sinespaciado"/>
        <w:jc w:val="both"/>
        <w:rPr>
          <w:i/>
          <w:iCs/>
        </w:rPr>
      </w:pPr>
      <w:r w:rsidRPr="00835574">
        <w:rPr>
          <w:i/>
          <w:iCs/>
        </w:rPr>
        <w:t>2.7.4 Promover que la investigación científica y la transferencia de tecnología y conocimiento aporten elementos estratégicos en favor del uso y manejo sostenible de los recursos naturales.</w:t>
      </w:r>
    </w:p>
    <w:p w14:paraId="03946712" w14:textId="77777777" w:rsidR="009919DB" w:rsidRPr="00835574" w:rsidRDefault="009919DB" w:rsidP="009919DB">
      <w:pPr>
        <w:pStyle w:val="Sinespaciado"/>
        <w:jc w:val="both"/>
        <w:rPr>
          <w:i/>
          <w:iCs/>
        </w:rPr>
      </w:pPr>
    </w:p>
    <w:p w14:paraId="6F42C6AC" w14:textId="77777777" w:rsidR="009919DB" w:rsidRPr="00835574" w:rsidRDefault="009919DB" w:rsidP="009919DB">
      <w:pPr>
        <w:pStyle w:val="Sinespaciado"/>
        <w:jc w:val="both"/>
        <w:rPr>
          <w:b/>
          <w:bCs/>
          <w:i/>
          <w:iCs/>
          <w:smallCaps/>
          <w:spacing w:val="5"/>
        </w:rPr>
      </w:pPr>
      <w:r w:rsidRPr="00835574">
        <w:rPr>
          <w:b/>
          <w:bCs/>
          <w:i/>
          <w:iCs/>
          <w:smallCaps/>
          <w:spacing w:val="5"/>
        </w:rPr>
        <w:t>Alineación al Plan Sectorial de Educación 2016 – 2022</w:t>
      </w:r>
    </w:p>
    <w:p w14:paraId="6FCCB577" w14:textId="77777777" w:rsidR="009919DB" w:rsidRPr="00835574" w:rsidRDefault="009919DB" w:rsidP="009919DB">
      <w:pPr>
        <w:pStyle w:val="Sinespaciado"/>
        <w:jc w:val="both"/>
        <w:rPr>
          <w:b/>
          <w:bCs/>
          <w:i/>
          <w:iCs/>
          <w:smallCaps/>
          <w:spacing w:val="5"/>
        </w:rPr>
      </w:pPr>
    </w:p>
    <w:p w14:paraId="1B5A9649" w14:textId="77777777" w:rsidR="009919DB" w:rsidRPr="00835574" w:rsidRDefault="009919DB" w:rsidP="009919DB">
      <w:pPr>
        <w:pStyle w:val="Sinespaciado"/>
        <w:jc w:val="both"/>
        <w:rPr>
          <w:i/>
          <w:iCs/>
        </w:rPr>
      </w:pPr>
      <w:r w:rsidRPr="00835574">
        <w:rPr>
          <w:b/>
          <w:i/>
          <w:iCs/>
        </w:rPr>
        <w:t>Objetivo:</w:t>
      </w:r>
      <w:r w:rsidRPr="00835574">
        <w:rPr>
          <w:i/>
          <w:iCs/>
        </w:rPr>
        <w:t xml:space="preserve"> 1. Estudiantes que ingresan, permanecen y concluyen con éxito una Educación Superior de calidad y pertinente.</w:t>
      </w:r>
    </w:p>
    <w:p w14:paraId="7D443254" w14:textId="77777777" w:rsidR="009919DB" w:rsidRPr="00835574" w:rsidRDefault="009919DB" w:rsidP="009919DB">
      <w:pPr>
        <w:pStyle w:val="Sinespaciado"/>
        <w:jc w:val="both"/>
        <w:rPr>
          <w:i/>
          <w:iCs/>
        </w:rPr>
      </w:pPr>
    </w:p>
    <w:p w14:paraId="3C4BA91E" w14:textId="77777777" w:rsidR="009919DB" w:rsidRPr="00835574" w:rsidRDefault="009919DB" w:rsidP="009919DB">
      <w:pPr>
        <w:pStyle w:val="Sinespaciado"/>
        <w:jc w:val="both"/>
        <w:rPr>
          <w:i/>
          <w:iCs/>
        </w:rPr>
      </w:pPr>
      <w:r w:rsidRPr="00835574">
        <w:rPr>
          <w:b/>
          <w:i/>
          <w:iCs/>
        </w:rPr>
        <w:t>Estrategias:</w:t>
      </w:r>
      <w:r w:rsidRPr="00835574">
        <w:rPr>
          <w:i/>
          <w:iCs/>
        </w:rPr>
        <w:t xml:space="preserve"> </w:t>
      </w:r>
    </w:p>
    <w:p w14:paraId="3DA3AD41" w14:textId="77777777" w:rsidR="009919DB" w:rsidRPr="00835574" w:rsidRDefault="009919DB" w:rsidP="009919DB">
      <w:pPr>
        <w:pStyle w:val="Sinespaciado"/>
        <w:jc w:val="both"/>
        <w:rPr>
          <w:i/>
          <w:iCs/>
        </w:rPr>
      </w:pPr>
    </w:p>
    <w:p w14:paraId="4B3A69C9" w14:textId="77777777" w:rsidR="009919DB" w:rsidRPr="00835574" w:rsidRDefault="009919DB">
      <w:pPr>
        <w:pStyle w:val="Sinespaciado"/>
        <w:numPr>
          <w:ilvl w:val="0"/>
          <w:numId w:val="15"/>
        </w:numPr>
        <w:jc w:val="both"/>
        <w:rPr>
          <w:i/>
          <w:iCs/>
        </w:rPr>
      </w:pPr>
      <w:r w:rsidRPr="00835574">
        <w:rPr>
          <w:i/>
          <w:iCs/>
        </w:rPr>
        <w:t>Ofrecer Servicios Educativos complementarios.</w:t>
      </w:r>
    </w:p>
    <w:p w14:paraId="1AF90F53" w14:textId="77777777" w:rsidR="009919DB" w:rsidRPr="00835574" w:rsidRDefault="009919DB" w:rsidP="009919DB">
      <w:pPr>
        <w:pStyle w:val="Sinespaciado"/>
        <w:ind w:left="720"/>
        <w:jc w:val="both"/>
        <w:rPr>
          <w:i/>
          <w:iCs/>
        </w:rPr>
      </w:pPr>
    </w:p>
    <w:p w14:paraId="5FCDABAE" w14:textId="3B98A614" w:rsidR="009919DB" w:rsidRDefault="009919DB">
      <w:pPr>
        <w:pStyle w:val="Sinespaciado"/>
        <w:numPr>
          <w:ilvl w:val="0"/>
          <w:numId w:val="15"/>
        </w:numPr>
        <w:jc w:val="both"/>
        <w:rPr>
          <w:i/>
          <w:iCs/>
        </w:rPr>
      </w:pPr>
      <w:r w:rsidRPr="00835574">
        <w:rPr>
          <w:i/>
          <w:iCs/>
        </w:rPr>
        <w:t>Diseñar e implementar mecanismos para la planeación y atención integral.</w:t>
      </w:r>
    </w:p>
    <w:p w14:paraId="6A282993" w14:textId="77777777" w:rsidR="00C0462B" w:rsidRPr="00835574" w:rsidRDefault="00C0462B" w:rsidP="00C0462B">
      <w:pPr>
        <w:pStyle w:val="Sinespaciado"/>
        <w:jc w:val="both"/>
        <w:rPr>
          <w:i/>
          <w:iCs/>
        </w:rPr>
      </w:pPr>
    </w:p>
    <w:p w14:paraId="68DDE98F" w14:textId="77777777" w:rsidR="009919DB" w:rsidRPr="00835574" w:rsidRDefault="009919DB">
      <w:pPr>
        <w:pStyle w:val="Sinespaciado"/>
        <w:numPr>
          <w:ilvl w:val="0"/>
          <w:numId w:val="15"/>
        </w:numPr>
        <w:jc w:val="both"/>
        <w:rPr>
          <w:i/>
          <w:iCs/>
        </w:rPr>
      </w:pPr>
      <w:r w:rsidRPr="00835574">
        <w:rPr>
          <w:i/>
          <w:iCs/>
        </w:rPr>
        <w:t xml:space="preserve">Gestionar Becas para cursar el Nivel Licenciatura. </w:t>
      </w:r>
    </w:p>
    <w:p w14:paraId="2455FDE0" w14:textId="77777777" w:rsidR="009919DB" w:rsidRPr="00835574" w:rsidRDefault="009919DB" w:rsidP="009919DB">
      <w:pPr>
        <w:pStyle w:val="Sinespaciado"/>
        <w:jc w:val="both"/>
        <w:rPr>
          <w:i/>
          <w:iCs/>
        </w:rPr>
      </w:pPr>
    </w:p>
    <w:p w14:paraId="11F93592" w14:textId="77777777" w:rsidR="009919DB" w:rsidRPr="00835574" w:rsidRDefault="009919DB">
      <w:pPr>
        <w:pStyle w:val="Sinespaciado"/>
        <w:numPr>
          <w:ilvl w:val="0"/>
          <w:numId w:val="15"/>
        </w:numPr>
        <w:jc w:val="both"/>
        <w:rPr>
          <w:i/>
          <w:iCs/>
        </w:rPr>
      </w:pPr>
      <w:r w:rsidRPr="00835574">
        <w:rPr>
          <w:i/>
          <w:iCs/>
        </w:rPr>
        <w:t>Garantizar la formación y actualización del personal de Educación Superior.</w:t>
      </w:r>
    </w:p>
    <w:p w14:paraId="2088E88D" w14:textId="77777777" w:rsidR="009919DB" w:rsidRPr="00835574" w:rsidRDefault="009919DB" w:rsidP="009919DB">
      <w:pPr>
        <w:pStyle w:val="Sinespaciado"/>
        <w:jc w:val="both"/>
        <w:rPr>
          <w:i/>
          <w:iCs/>
        </w:rPr>
      </w:pPr>
    </w:p>
    <w:p w14:paraId="3F4E19C7" w14:textId="77777777" w:rsidR="009919DB" w:rsidRPr="00835574" w:rsidRDefault="009919DB">
      <w:pPr>
        <w:pStyle w:val="Sinespaciado"/>
        <w:numPr>
          <w:ilvl w:val="0"/>
          <w:numId w:val="15"/>
        </w:numPr>
        <w:jc w:val="both"/>
        <w:rPr>
          <w:i/>
          <w:iCs/>
        </w:rPr>
      </w:pPr>
      <w:r w:rsidRPr="00835574">
        <w:rPr>
          <w:i/>
          <w:iCs/>
        </w:rPr>
        <w:lastRenderedPageBreak/>
        <w:t>Ampliar la cobertura de una Educación Superior, favoreciendo las zonas de mayor rezago educativo y con atención a la diversidad cultural.</w:t>
      </w:r>
    </w:p>
    <w:p w14:paraId="323FB5BE" w14:textId="77777777" w:rsidR="009919DB" w:rsidRPr="00835574" w:rsidRDefault="009919DB" w:rsidP="009919DB">
      <w:pPr>
        <w:pStyle w:val="Sinespaciado"/>
        <w:jc w:val="both"/>
        <w:rPr>
          <w:i/>
          <w:iCs/>
        </w:rPr>
      </w:pPr>
    </w:p>
    <w:p w14:paraId="512C1AAE" w14:textId="77777777" w:rsidR="009919DB" w:rsidRPr="00835574" w:rsidRDefault="009919DB">
      <w:pPr>
        <w:pStyle w:val="Sinespaciado"/>
        <w:numPr>
          <w:ilvl w:val="0"/>
          <w:numId w:val="15"/>
        </w:numPr>
        <w:jc w:val="both"/>
        <w:rPr>
          <w:i/>
          <w:iCs/>
        </w:rPr>
      </w:pPr>
      <w:r w:rsidRPr="00835574">
        <w:rPr>
          <w:i/>
          <w:iCs/>
        </w:rPr>
        <w:t>Flexibilizar la oferta educativa a través de la diversificación de las modalidades educativas.</w:t>
      </w:r>
    </w:p>
    <w:p w14:paraId="24086B31" w14:textId="77777777" w:rsidR="009919DB" w:rsidRPr="00835574" w:rsidRDefault="009919DB" w:rsidP="009919DB">
      <w:pPr>
        <w:pStyle w:val="Sinespaciado"/>
        <w:jc w:val="both"/>
        <w:rPr>
          <w:i/>
          <w:iCs/>
        </w:rPr>
      </w:pPr>
    </w:p>
    <w:p w14:paraId="7204F271" w14:textId="77777777" w:rsidR="009919DB" w:rsidRPr="00835574" w:rsidRDefault="009919DB" w:rsidP="009919DB">
      <w:pPr>
        <w:pStyle w:val="Sinespaciado"/>
        <w:jc w:val="both"/>
        <w:rPr>
          <w:i/>
          <w:iCs/>
        </w:rPr>
      </w:pPr>
      <w:r w:rsidRPr="00835574">
        <w:rPr>
          <w:b/>
          <w:i/>
          <w:iCs/>
        </w:rPr>
        <w:t>Objetivo</w:t>
      </w:r>
      <w:r w:rsidRPr="00835574">
        <w:rPr>
          <w:i/>
          <w:iCs/>
        </w:rPr>
        <w:t>: 2. Instituciones de Educación Superior vinculadas con los sectores público, privado y social para la promoción del desarrollo, la ciencia y la cultura en beneficio de la sociedad oaxaqueña.</w:t>
      </w:r>
    </w:p>
    <w:p w14:paraId="2BEC7A64" w14:textId="77777777" w:rsidR="00373877" w:rsidRPr="00835574" w:rsidRDefault="00373877" w:rsidP="009919DB">
      <w:pPr>
        <w:pStyle w:val="Sinespaciado"/>
        <w:jc w:val="both"/>
        <w:rPr>
          <w:b/>
          <w:i/>
          <w:iCs/>
        </w:rPr>
      </w:pPr>
    </w:p>
    <w:p w14:paraId="1E9AFFC8" w14:textId="6674DA6D" w:rsidR="009919DB" w:rsidRPr="00835574" w:rsidRDefault="009919DB" w:rsidP="009919DB">
      <w:pPr>
        <w:pStyle w:val="Sinespaciado"/>
        <w:jc w:val="both"/>
        <w:rPr>
          <w:i/>
          <w:iCs/>
        </w:rPr>
      </w:pPr>
      <w:r w:rsidRPr="00835574">
        <w:rPr>
          <w:b/>
          <w:i/>
          <w:iCs/>
        </w:rPr>
        <w:t>Estrategias</w:t>
      </w:r>
      <w:r w:rsidRPr="00835574">
        <w:rPr>
          <w:i/>
          <w:iCs/>
        </w:rPr>
        <w:t xml:space="preserve">: </w:t>
      </w:r>
    </w:p>
    <w:p w14:paraId="3B534CF6" w14:textId="77777777" w:rsidR="009919DB" w:rsidRPr="00835574" w:rsidRDefault="009919DB" w:rsidP="009919DB">
      <w:pPr>
        <w:pStyle w:val="Sinespaciado"/>
        <w:jc w:val="both"/>
        <w:rPr>
          <w:i/>
          <w:iCs/>
        </w:rPr>
      </w:pPr>
    </w:p>
    <w:p w14:paraId="05BC40C7" w14:textId="77777777" w:rsidR="009919DB" w:rsidRPr="00835574" w:rsidRDefault="009919DB">
      <w:pPr>
        <w:pStyle w:val="Sinespaciado"/>
        <w:numPr>
          <w:ilvl w:val="1"/>
          <w:numId w:val="14"/>
        </w:numPr>
        <w:jc w:val="both"/>
        <w:rPr>
          <w:i/>
          <w:iCs/>
        </w:rPr>
      </w:pPr>
      <w:r w:rsidRPr="00835574">
        <w:rPr>
          <w:i/>
          <w:iCs/>
        </w:rPr>
        <w:t xml:space="preserve">Otorgar servicios de asistencia técnica, asesoría, capacitación, servicio social y/o consultoría al sector productivo, social y gubernamental. </w:t>
      </w:r>
    </w:p>
    <w:p w14:paraId="220DC9BE" w14:textId="77777777" w:rsidR="009919DB" w:rsidRPr="00835574" w:rsidRDefault="009919DB" w:rsidP="009919DB">
      <w:pPr>
        <w:pStyle w:val="Sinespaciado"/>
        <w:ind w:left="390"/>
        <w:jc w:val="both"/>
        <w:rPr>
          <w:i/>
          <w:iCs/>
        </w:rPr>
      </w:pPr>
    </w:p>
    <w:p w14:paraId="06014163" w14:textId="77777777" w:rsidR="009919DB" w:rsidRPr="00835574" w:rsidRDefault="009919DB">
      <w:pPr>
        <w:pStyle w:val="Sinespaciado"/>
        <w:numPr>
          <w:ilvl w:val="1"/>
          <w:numId w:val="14"/>
        </w:numPr>
        <w:jc w:val="both"/>
        <w:rPr>
          <w:i/>
          <w:iCs/>
        </w:rPr>
      </w:pPr>
      <w:r w:rsidRPr="00835574">
        <w:rPr>
          <w:i/>
          <w:iCs/>
        </w:rPr>
        <w:t>Vincular a las Instituciones de Educación Superior con el sector productivo, social y gubernamental.</w:t>
      </w:r>
    </w:p>
    <w:p w14:paraId="793631C0" w14:textId="77777777" w:rsidR="009919DB" w:rsidRPr="00835574" w:rsidRDefault="009919DB" w:rsidP="009919DB">
      <w:pPr>
        <w:pStyle w:val="Sinespaciado"/>
        <w:jc w:val="both"/>
        <w:rPr>
          <w:i/>
          <w:iCs/>
        </w:rPr>
      </w:pPr>
    </w:p>
    <w:p w14:paraId="2F1F9B32" w14:textId="77777777" w:rsidR="009919DB" w:rsidRPr="00835574" w:rsidRDefault="009919DB" w:rsidP="009919DB">
      <w:pPr>
        <w:pStyle w:val="Sinespaciado"/>
        <w:jc w:val="both"/>
        <w:rPr>
          <w:i/>
          <w:iCs/>
        </w:rPr>
      </w:pPr>
      <w:r w:rsidRPr="00835574">
        <w:rPr>
          <w:i/>
          <w:iCs/>
        </w:rPr>
        <w:t>1.3.  Gestionar la Coordinación interinstitucional para el fortalecimiento de las capacidades técnicas, administrativas, organizativas y jurídicas de las comunidades.</w:t>
      </w:r>
    </w:p>
    <w:p w14:paraId="6A919E29" w14:textId="77777777" w:rsidR="009919DB" w:rsidRPr="00835574" w:rsidRDefault="009919DB" w:rsidP="009919DB">
      <w:pPr>
        <w:pStyle w:val="Sinespaciado"/>
        <w:jc w:val="both"/>
        <w:rPr>
          <w:i/>
          <w:iCs/>
        </w:rPr>
      </w:pPr>
    </w:p>
    <w:p w14:paraId="6F6D724B" w14:textId="77777777" w:rsidR="009919DB" w:rsidRPr="00835574" w:rsidRDefault="009919DB" w:rsidP="009919DB">
      <w:pPr>
        <w:pStyle w:val="Sinespaciado"/>
        <w:jc w:val="both"/>
        <w:rPr>
          <w:b/>
          <w:bCs/>
          <w:i/>
          <w:iCs/>
          <w:smallCaps/>
          <w:spacing w:val="5"/>
        </w:rPr>
      </w:pPr>
      <w:r w:rsidRPr="00835574">
        <w:rPr>
          <w:b/>
          <w:bCs/>
          <w:i/>
          <w:iCs/>
          <w:smallCaps/>
          <w:spacing w:val="5"/>
        </w:rPr>
        <w:t xml:space="preserve">Alineación al Plan Estatal de Desarrollo 2016- 2022 </w:t>
      </w:r>
    </w:p>
    <w:p w14:paraId="54C69A8F" w14:textId="77777777" w:rsidR="009919DB" w:rsidRPr="00835574" w:rsidRDefault="009919DB" w:rsidP="009919DB">
      <w:pPr>
        <w:pStyle w:val="Sinespaciado"/>
        <w:jc w:val="both"/>
        <w:rPr>
          <w:b/>
          <w:bCs/>
          <w:i/>
          <w:iCs/>
          <w:smallCaps/>
          <w:spacing w:val="5"/>
        </w:rPr>
      </w:pPr>
    </w:p>
    <w:p w14:paraId="62244EC4" w14:textId="77777777" w:rsidR="009919DB" w:rsidRPr="00835574" w:rsidRDefault="009919DB" w:rsidP="009919DB">
      <w:pPr>
        <w:pStyle w:val="Sinespaciado"/>
        <w:jc w:val="both"/>
        <w:rPr>
          <w:i/>
          <w:iCs/>
        </w:rPr>
      </w:pPr>
      <w:r w:rsidRPr="00835574">
        <w:rPr>
          <w:i/>
          <w:iCs/>
        </w:rPr>
        <w:t>El PED 2016-2022, consta de cinco ejes rectores, en el Eje I: “Oaxaca Incluyente con Desarrollo Social”, en su apartado 1.1. Educación, expresa el propósito de considerar como ejes principales de la educación su diversidad lingüística, cultural, biológica, geográfica, climática, social y económica, respetando y favoreciendo el desarrollo de sus habitantes. Para ello plantea los siguientes objetivos:</w:t>
      </w:r>
    </w:p>
    <w:p w14:paraId="25EEA7D8" w14:textId="77777777" w:rsidR="009919DB" w:rsidRPr="00835574" w:rsidRDefault="009919DB" w:rsidP="009919DB">
      <w:pPr>
        <w:pStyle w:val="Sinespaciado"/>
        <w:jc w:val="both"/>
        <w:rPr>
          <w:i/>
          <w:iCs/>
        </w:rPr>
      </w:pPr>
    </w:p>
    <w:p w14:paraId="4FA9DFDC" w14:textId="77777777" w:rsidR="009919DB" w:rsidRPr="00835574" w:rsidRDefault="009919DB" w:rsidP="009919DB">
      <w:pPr>
        <w:pStyle w:val="Sinespaciado"/>
        <w:jc w:val="both"/>
        <w:rPr>
          <w:i/>
          <w:iCs/>
        </w:rPr>
      </w:pPr>
      <w:r w:rsidRPr="00835574">
        <w:rPr>
          <w:i/>
          <w:iCs/>
        </w:rPr>
        <w:t>Ampliar la oferta de la Educación Superior, el incremento de la matrícula con calidad y pertinencia, así como promover la vinculación de las instituciones educativas con el sector productivo.</w:t>
      </w:r>
    </w:p>
    <w:p w14:paraId="42FDE552" w14:textId="77777777" w:rsidR="009919DB" w:rsidRPr="00835574" w:rsidRDefault="009919DB" w:rsidP="009919DB">
      <w:pPr>
        <w:pStyle w:val="Sinespaciado"/>
        <w:jc w:val="both"/>
        <w:rPr>
          <w:i/>
          <w:iCs/>
        </w:rPr>
      </w:pPr>
    </w:p>
    <w:p w14:paraId="215351EF" w14:textId="77777777" w:rsidR="009919DB" w:rsidRPr="00835574" w:rsidRDefault="009919DB" w:rsidP="009919DB">
      <w:pPr>
        <w:pStyle w:val="Sinespaciado"/>
        <w:jc w:val="both"/>
        <w:rPr>
          <w:i/>
          <w:iCs/>
        </w:rPr>
      </w:pPr>
      <w:r w:rsidRPr="00835574">
        <w:rPr>
          <w:b/>
          <w:i/>
          <w:iCs/>
        </w:rPr>
        <w:t>Política:</w:t>
      </w:r>
      <w:r w:rsidRPr="00835574">
        <w:rPr>
          <w:i/>
          <w:iCs/>
        </w:rPr>
        <w:t xml:space="preserve"> 1. Oaxaca incluyente con Desarrollo Social (Educación)</w:t>
      </w:r>
    </w:p>
    <w:p w14:paraId="147AFAD2" w14:textId="77777777" w:rsidR="009919DB" w:rsidRPr="00835574" w:rsidRDefault="009919DB" w:rsidP="009919DB">
      <w:pPr>
        <w:pStyle w:val="Sinespaciado"/>
        <w:jc w:val="both"/>
        <w:rPr>
          <w:i/>
          <w:iCs/>
        </w:rPr>
      </w:pPr>
    </w:p>
    <w:p w14:paraId="4CF4F838" w14:textId="77777777" w:rsidR="009919DB" w:rsidRPr="00835574" w:rsidRDefault="009919DB" w:rsidP="009919DB">
      <w:pPr>
        <w:pStyle w:val="Sinespaciado"/>
        <w:jc w:val="both"/>
        <w:rPr>
          <w:i/>
          <w:iCs/>
        </w:rPr>
      </w:pPr>
      <w:r w:rsidRPr="00835574">
        <w:rPr>
          <w:b/>
          <w:i/>
          <w:iCs/>
        </w:rPr>
        <w:t>Objetivo:</w:t>
      </w:r>
      <w:r w:rsidRPr="00835574">
        <w:rPr>
          <w:i/>
          <w:iCs/>
        </w:rPr>
        <w:t xml:space="preserve"> 1.  Ampliar la matrícula de Educación Superior promoviendo la formación de capital humano de alto nivel con una Educación Superior de calidad y pertinencia para el estado. </w:t>
      </w:r>
    </w:p>
    <w:p w14:paraId="6CE36371" w14:textId="77777777" w:rsidR="009919DB" w:rsidRPr="00835574" w:rsidRDefault="009919DB" w:rsidP="009919DB">
      <w:pPr>
        <w:pStyle w:val="Sinespaciado"/>
        <w:jc w:val="both"/>
        <w:rPr>
          <w:i/>
          <w:iCs/>
        </w:rPr>
      </w:pPr>
    </w:p>
    <w:p w14:paraId="6A6AE3DA" w14:textId="77777777" w:rsidR="009919DB" w:rsidRPr="00835574" w:rsidRDefault="009919DB" w:rsidP="009919DB">
      <w:pPr>
        <w:pStyle w:val="Sinespaciado"/>
        <w:jc w:val="both"/>
        <w:rPr>
          <w:i/>
          <w:iCs/>
        </w:rPr>
      </w:pPr>
      <w:r w:rsidRPr="00835574">
        <w:rPr>
          <w:b/>
          <w:i/>
          <w:iCs/>
        </w:rPr>
        <w:t>Estrategias</w:t>
      </w:r>
      <w:r w:rsidRPr="00835574">
        <w:rPr>
          <w:i/>
          <w:iCs/>
        </w:rPr>
        <w:t xml:space="preserve">: </w:t>
      </w:r>
    </w:p>
    <w:p w14:paraId="21B42180" w14:textId="77777777" w:rsidR="009919DB" w:rsidRPr="00835574" w:rsidRDefault="009919DB" w:rsidP="009919DB">
      <w:pPr>
        <w:pStyle w:val="Sinespaciado"/>
        <w:jc w:val="both"/>
        <w:rPr>
          <w:i/>
          <w:iCs/>
        </w:rPr>
      </w:pPr>
    </w:p>
    <w:p w14:paraId="1675F648" w14:textId="77777777" w:rsidR="009919DB" w:rsidRPr="00835574" w:rsidRDefault="009919DB" w:rsidP="009919DB">
      <w:pPr>
        <w:pStyle w:val="Sinespaciado"/>
        <w:jc w:val="both"/>
        <w:rPr>
          <w:i/>
          <w:iCs/>
        </w:rPr>
      </w:pPr>
      <w:r w:rsidRPr="00835574">
        <w:rPr>
          <w:i/>
          <w:iCs/>
        </w:rPr>
        <w:t xml:space="preserve">1.1. Flexibilizar la oferta educativa a través de la diversificación de las Modalidades educativas. </w:t>
      </w:r>
    </w:p>
    <w:p w14:paraId="4675E646" w14:textId="77777777" w:rsidR="009919DB" w:rsidRPr="00835574" w:rsidRDefault="009919DB" w:rsidP="009919DB">
      <w:pPr>
        <w:pStyle w:val="Sinespaciado"/>
        <w:jc w:val="both"/>
        <w:rPr>
          <w:i/>
          <w:iCs/>
        </w:rPr>
      </w:pPr>
      <w:r w:rsidRPr="00835574">
        <w:rPr>
          <w:i/>
          <w:iCs/>
        </w:rPr>
        <w:t>1.2. Promover mejor calidad en los componentes del proceso educativo: docentes, estudiantes, planes y programas de estudio.</w:t>
      </w:r>
    </w:p>
    <w:p w14:paraId="340FD529" w14:textId="77777777" w:rsidR="009919DB" w:rsidRPr="00835574" w:rsidRDefault="009919DB" w:rsidP="009919DB">
      <w:pPr>
        <w:pStyle w:val="Sinespaciado"/>
        <w:jc w:val="both"/>
        <w:rPr>
          <w:i/>
          <w:iCs/>
        </w:rPr>
      </w:pPr>
    </w:p>
    <w:p w14:paraId="5E71558B" w14:textId="77777777" w:rsidR="009919DB" w:rsidRPr="00835574" w:rsidRDefault="009919DB" w:rsidP="009919DB">
      <w:pPr>
        <w:pStyle w:val="Sinespaciado"/>
        <w:jc w:val="both"/>
        <w:rPr>
          <w:i/>
          <w:iCs/>
        </w:rPr>
      </w:pPr>
      <w:r w:rsidRPr="00835574">
        <w:rPr>
          <w:b/>
          <w:i/>
          <w:iCs/>
        </w:rPr>
        <w:lastRenderedPageBreak/>
        <w:t>Objetivo:</w:t>
      </w:r>
      <w:r w:rsidRPr="00835574">
        <w:rPr>
          <w:i/>
          <w:iCs/>
        </w:rPr>
        <w:t xml:space="preserve"> 2.  Promover la vinculación del Sector Educativo de tipo Superior con el Sector Productivo y Social, a fin de prestar servicios de investigación, transferencia de conocimientos, promoción del desarrollo y educación continua.</w:t>
      </w:r>
    </w:p>
    <w:p w14:paraId="3CEB928F" w14:textId="77777777" w:rsidR="009919DB" w:rsidRPr="00835574" w:rsidRDefault="009919DB" w:rsidP="009919DB">
      <w:pPr>
        <w:pStyle w:val="Sinespaciado"/>
        <w:jc w:val="both"/>
        <w:rPr>
          <w:i/>
          <w:iCs/>
        </w:rPr>
      </w:pPr>
    </w:p>
    <w:p w14:paraId="3462425B" w14:textId="77777777" w:rsidR="009919DB" w:rsidRPr="00835574" w:rsidRDefault="009919DB" w:rsidP="009919DB">
      <w:pPr>
        <w:pStyle w:val="Sinespaciado"/>
        <w:jc w:val="both"/>
        <w:rPr>
          <w:i/>
          <w:iCs/>
        </w:rPr>
      </w:pPr>
      <w:r w:rsidRPr="00835574">
        <w:rPr>
          <w:b/>
          <w:i/>
          <w:iCs/>
        </w:rPr>
        <w:t>Estrategias</w:t>
      </w:r>
      <w:r w:rsidRPr="00835574">
        <w:rPr>
          <w:i/>
          <w:iCs/>
        </w:rPr>
        <w:t xml:space="preserve">: </w:t>
      </w:r>
    </w:p>
    <w:p w14:paraId="38985EB2" w14:textId="77777777" w:rsidR="009919DB" w:rsidRPr="00835574" w:rsidRDefault="009919DB" w:rsidP="009919DB">
      <w:pPr>
        <w:pStyle w:val="Sinespaciado"/>
        <w:jc w:val="both"/>
        <w:rPr>
          <w:i/>
          <w:iCs/>
        </w:rPr>
      </w:pPr>
    </w:p>
    <w:p w14:paraId="4875B100" w14:textId="77777777" w:rsidR="009919DB" w:rsidRPr="00835574" w:rsidRDefault="009919DB" w:rsidP="009919DB">
      <w:pPr>
        <w:pStyle w:val="Sinespaciado"/>
        <w:jc w:val="both"/>
        <w:rPr>
          <w:i/>
          <w:iCs/>
        </w:rPr>
      </w:pPr>
      <w:r w:rsidRPr="00835574">
        <w:rPr>
          <w:i/>
          <w:iCs/>
        </w:rPr>
        <w:t xml:space="preserve">1.1. Promover los mecanismos para incentivar la vinculación entre las IES y los sectores Productivo y social en el estado de Oaxaca. </w:t>
      </w:r>
    </w:p>
    <w:p w14:paraId="66141AC6" w14:textId="77777777" w:rsidR="009919DB" w:rsidRPr="00835574" w:rsidRDefault="009919DB" w:rsidP="009919DB">
      <w:pPr>
        <w:pStyle w:val="Sinespaciado"/>
        <w:jc w:val="both"/>
        <w:rPr>
          <w:i/>
          <w:iCs/>
        </w:rPr>
      </w:pPr>
      <w:r w:rsidRPr="00835574">
        <w:rPr>
          <w:i/>
          <w:iCs/>
        </w:rPr>
        <w:t>1.2.  Proponer la creación de canales adecuados que faciliten y fortalezcan la vinculación Educación Superior-Empresa comunitaria.</w:t>
      </w:r>
    </w:p>
    <w:p w14:paraId="2C540C9A" w14:textId="77777777" w:rsidR="009919DB" w:rsidRPr="00835574" w:rsidRDefault="009919DB" w:rsidP="009919DB">
      <w:pPr>
        <w:pStyle w:val="Sinespaciado"/>
        <w:jc w:val="both"/>
        <w:rPr>
          <w:i/>
          <w:iCs/>
        </w:rPr>
      </w:pPr>
      <w:r w:rsidRPr="00835574">
        <w:rPr>
          <w:i/>
          <w:iCs/>
        </w:rPr>
        <w:t>1.3. Coordinación interinstitucional.</w:t>
      </w:r>
    </w:p>
    <w:p w14:paraId="2F742E49" w14:textId="77777777" w:rsidR="009919DB" w:rsidRPr="00835574" w:rsidRDefault="009919DB" w:rsidP="009919DB">
      <w:pPr>
        <w:pStyle w:val="Sinespaciado"/>
        <w:jc w:val="both"/>
        <w:rPr>
          <w:i/>
          <w:iCs/>
        </w:rPr>
      </w:pPr>
    </w:p>
    <w:p w14:paraId="17208528" w14:textId="77777777" w:rsidR="009919DB" w:rsidRPr="00835574" w:rsidRDefault="009919DB" w:rsidP="009919DB">
      <w:pPr>
        <w:pStyle w:val="Sinespaciado"/>
        <w:jc w:val="both"/>
        <w:rPr>
          <w:b/>
          <w:bCs/>
          <w:i/>
          <w:iCs/>
          <w:smallCaps/>
          <w:spacing w:val="5"/>
        </w:rPr>
      </w:pPr>
      <w:r w:rsidRPr="00835574">
        <w:rPr>
          <w:b/>
          <w:bCs/>
          <w:i/>
          <w:iCs/>
          <w:smallCaps/>
          <w:spacing w:val="5"/>
        </w:rPr>
        <w:t>Alineación al Plan Institucional de Desarrollo 2020 – 2023</w:t>
      </w:r>
    </w:p>
    <w:p w14:paraId="55A112D1" w14:textId="77777777" w:rsidR="009919DB" w:rsidRPr="00835574" w:rsidRDefault="009919DB" w:rsidP="009919DB">
      <w:pPr>
        <w:pStyle w:val="Sinespaciado"/>
        <w:jc w:val="both"/>
        <w:rPr>
          <w:b/>
          <w:bCs/>
          <w:i/>
          <w:iCs/>
          <w:smallCaps/>
          <w:spacing w:val="5"/>
        </w:rPr>
      </w:pPr>
    </w:p>
    <w:p w14:paraId="1F5BBA1D" w14:textId="77777777" w:rsidR="009919DB" w:rsidRPr="00835574" w:rsidRDefault="009919DB" w:rsidP="009919DB">
      <w:pPr>
        <w:pStyle w:val="Sinespaciado"/>
        <w:jc w:val="both"/>
        <w:rPr>
          <w:i/>
          <w:iCs/>
        </w:rPr>
      </w:pPr>
      <w:r w:rsidRPr="00835574">
        <w:rPr>
          <w:b/>
          <w:i/>
          <w:iCs/>
        </w:rPr>
        <w:t>Dimensión (es) y/o Política (s)</w:t>
      </w:r>
      <w:r w:rsidRPr="00835574">
        <w:rPr>
          <w:i/>
          <w:iCs/>
        </w:rPr>
        <w:t>:  2. Gestión moderna y eficaz.</w:t>
      </w:r>
    </w:p>
    <w:p w14:paraId="1CFFAA60" w14:textId="77777777" w:rsidR="009919DB" w:rsidRPr="00835574" w:rsidRDefault="009919DB" w:rsidP="009919DB">
      <w:pPr>
        <w:pStyle w:val="Sinespaciado"/>
        <w:jc w:val="both"/>
        <w:rPr>
          <w:i/>
          <w:iCs/>
        </w:rPr>
      </w:pPr>
    </w:p>
    <w:p w14:paraId="1737F56D" w14:textId="77777777" w:rsidR="009919DB" w:rsidRPr="00835574" w:rsidRDefault="009919DB" w:rsidP="009919DB">
      <w:pPr>
        <w:pStyle w:val="Sinespaciado"/>
        <w:jc w:val="both"/>
        <w:rPr>
          <w:i/>
          <w:iCs/>
        </w:rPr>
      </w:pPr>
      <w:r w:rsidRPr="00835574">
        <w:rPr>
          <w:b/>
          <w:i/>
          <w:iCs/>
        </w:rPr>
        <w:t xml:space="preserve">Estrategia (s): </w:t>
      </w:r>
      <w:r w:rsidRPr="00835574">
        <w:rPr>
          <w:i/>
          <w:iCs/>
        </w:rPr>
        <w:t>2.3.  Programa universitario de gestión financiera y sostenible.</w:t>
      </w:r>
    </w:p>
    <w:p w14:paraId="58CF1430" w14:textId="77777777" w:rsidR="009919DB" w:rsidRPr="00835574" w:rsidRDefault="009919DB" w:rsidP="009919DB">
      <w:pPr>
        <w:pStyle w:val="Sinespaciado"/>
        <w:jc w:val="both"/>
        <w:rPr>
          <w:i/>
          <w:iCs/>
        </w:rPr>
      </w:pPr>
    </w:p>
    <w:p w14:paraId="1B465B1E" w14:textId="77777777" w:rsidR="009919DB" w:rsidRPr="00835574" w:rsidRDefault="009919DB" w:rsidP="009919DB">
      <w:pPr>
        <w:pStyle w:val="Sinespaciado"/>
        <w:jc w:val="both"/>
        <w:rPr>
          <w:b/>
          <w:i/>
          <w:iCs/>
        </w:rPr>
      </w:pPr>
      <w:r w:rsidRPr="00835574">
        <w:rPr>
          <w:b/>
          <w:i/>
          <w:iCs/>
        </w:rPr>
        <w:t>METAS 2023</w:t>
      </w:r>
    </w:p>
    <w:p w14:paraId="75225407" w14:textId="77777777" w:rsidR="009919DB" w:rsidRPr="00835574" w:rsidRDefault="009919DB" w:rsidP="009919DB">
      <w:pPr>
        <w:pStyle w:val="Sinespaciado"/>
        <w:jc w:val="both"/>
        <w:rPr>
          <w:b/>
          <w:i/>
          <w:iCs/>
        </w:rPr>
      </w:pPr>
    </w:p>
    <w:tbl>
      <w:tblPr>
        <w:tblStyle w:val="Tablaconcuadrcula"/>
        <w:tblW w:w="0" w:type="auto"/>
        <w:tblLook w:val="04A0" w:firstRow="1" w:lastRow="0" w:firstColumn="1" w:lastColumn="0" w:noHBand="0" w:noVBand="1"/>
      </w:tblPr>
      <w:tblGrid>
        <w:gridCol w:w="2952"/>
        <w:gridCol w:w="2963"/>
        <w:gridCol w:w="2913"/>
      </w:tblGrid>
      <w:tr w:rsidR="00835574" w:rsidRPr="00835574" w14:paraId="465132D8" w14:textId="77777777" w:rsidTr="009F17D2">
        <w:tc>
          <w:tcPr>
            <w:tcW w:w="2952" w:type="dxa"/>
          </w:tcPr>
          <w:p w14:paraId="40FE9158" w14:textId="77777777" w:rsidR="009919DB" w:rsidRPr="00835574" w:rsidRDefault="009919DB" w:rsidP="009F17D2">
            <w:pPr>
              <w:pStyle w:val="Sinespaciado"/>
              <w:jc w:val="center"/>
              <w:rPr>
                <w:b/>
                <w:bCs/>
                <w:i/>
                <w:iCs/>
              </w:rPr>
            </w:pPr>
            <w:r w:rsidRPr="00835574">
              <w:rPr>
                <w:b/>
                <w:bCs/>
                <w:i/>
                <w:iCs/>
              </w:rPr>
              <w:t>NOMBRE DEL PROGRAMA</w:t>
            </w:r>
          </w:p>
        </w:tc>
        <w:tc>
          <w:tcPr>
            <w:tcW w:w="2963" w:type="dxa"/>
          </w:tcPr>
          <w:p w14:paraId="011AC01A" w14:textId="77777777" w:rsidR="009919DB" w:rsidRPr="00835574" w:rsidRDefault="009919DB" w:rsidP="009F17D2">
            <w:pPr>
              <w:pStyle w:val="Sinespaciado"/>
              <w:jc w:val="center"/>
              <w:rPr>
                <w:b/>
                <w:bCs/>
                <w:i/>
                <w:iCs/>
              </w:rPr>
            </w:pPr>
            <w:r w:rsidRPr="00835574">
              <w:rPr>
                <w:b/>
                <w:bCs/>
                <w:i/>
                <w:iCs/>
              </w:rPr>
              <w:t>INDICADOR</w:t>
            </w:r>
          </w:p>
        </w:tc>
        <w:tc>
          <w:tcPr>
            <w:tcW w:w="2913" w:type="dxa"/>
          </w:tcPr>
          <w:p w14:paraId="7A4864D5" w14:textId="77777777" w:rsidR="009919DB" w:rsidRPr="00835574" w:rsidRDefault="009919DB" w:rsidP="009F17D2">
            <w:pPr>
              <w:pStyle w:val="Sinespaciado"/>
              <w:jc w:val="center"/>
              <w:rPr>
                <w:b/>
                <w:bCs/>
                <w:i/>
                <w:iCs/>
              </w:rPr>
            </w:pPr>
            <w:r w:rsidRPr="00835574">
              <w:rPr>
                <w:b/>
                <w:bCs/>
                <w:i/>
                <w:iCs/>
              </w:rPr>
              <w:t>META</w:t>
            </w:r>
          </w:p>
        </w:tc>
      </w:tr>
      <w:tr w:rsidR="00835574" w:rsidRPr="00835574" w14:paraId="06C3B50C" w14:textId="77777777" w:rsidTr="009F17D2">
        <w:tc>
          <w:tcPr>
            <w:tcW w:w="2952" w:type="dxa"/>
          </w:tcPr>
          <w:p w14:paraId="34186A67" w14:textId="77777777" w:rsidR="009919DB" w:rsidRPr="00835574" w:rsidRDefault="009919DB" w:rsidP="009F17D2">
            <w:pPr>
              <w:pStyle w:val="Sinespaciado"/>
              <w:rPr>
                <w:b/>
                <w:bCs/>
                <w:i/>
                <w:iCs/>
              </w:rPr>
            </w:pPr>
            <w:r w:rsidRPr="00835574">
              <w:rPr>
                <w:i/>
                <w:iCs/>
              </w:rPr>
              <w:t>139 FORMACIÓN PROFESIONAL Y POSGRADO</w:t>
            </w:r>
          </w:p>
        </w:tc>
        <w:tc>
          <w:tcPr>
            <w:tcW w:w="2963" w:type="dxa"/>
          </w:tcPr>
          <w:p w14:paraId="27B6B468" w14:textId="77777777" w:rsidR="009919DB" w:rsidRPr="00835574" w:rsidRDefault="009919DB" w:rsidP="009F17D2">
            <w:pPr>
              <w:pStyle w:val="Sinespaciado"/>
              <w:rPr>
                <w:i/>
                <w:iCs/>
              </w:rPr>
            </w:pPr>
            <w:r w:rsidRPr="00835574">
              <w:rPr>
                <w:i/>
                <w:iCs/>
              </w:rPr>
              <w:t>NÚMERO DE HORAS CLASE IMPARTIDAS</w:t>
            </w:r>
          </w:p>
        </w:tc>
        <w:tc>
          <w:tcPr>
            <w:tcW w:w="2913" w:type="dxa"/>
          </w:tcPr>
          <w:p w14:paraId="2733BC18" w14:textId="77777777" w:rsidR="009919DB" w:rsidRPr="00835574" w:rsidRDefault="009919DB" w:rsidP="009F17D2">
            <w:pPr>
              <w:pStyle w:val="Sinespaciado"/>
              <w:rPr>
                <w:i/>
                <w:iCs/>
              </w:rPr>
            </w:pPr>
            <w:r w:rsidRPr="00835574">
              <w:rPr>
                <w:i/>
                <w:iCs/>
              </w:rPr>
              <w:t>51,840.00</w:t>
            </w:r>
          </w:p>
        </w:tc>
      </w:tr>
      <w:tr w:rsidR="00835574" w:rsidRPr="00835574" w14:paraId="1F6392A9" w14:textId="77777777" w:rsidTr="009F17D2">
        <w:tc>
          <w:tcPr>
            <w:tcW w:w="2952" w:type="dxa"/>
          </w:tcPr>
          <w:p w14:paraId="1D05360C" w14:textId="77777777" w:rsidR="009919DB" w:rsidRPr="00835574" w:rsidRDefault="009919DB" w:rsidP="009F17D2">
            <w:pPr>
              <w:pStyle w:val="Sinespaciado"/>
              <w:jc w:val="both"/>
              <w:rPr>
                <w:b/>
                <w:bCs/>
                <w:i/>
                <w:iCs/>
              </w:rPr>
            </w:pPr>
          </w:p>
        </w:tc>
        <w:tc>
          <w:tcPr>
            <w:tcW w:w="2963" w:type="dxa"/>
          </w:tcPr>
          <w:p w14:paraId="6BF73609" w14:textId="77777777" w:rsidR="009919DB" w:rsidRPr="00835574" w:rsidRDefault="009919DB" w:rsidP="009F17D2">
            <w:pPr>
              <w:pStyle w:val="Sinespaciado"/>
              <w:rPr>
                <w:i/>
                <w:iCs/>
              </w:rPr>
            </w:pPr>
            <w:r w:rsidRPr="00835574">
              <w:rPr>
                <w:i/>
                <w:iCs/>
              </w:rPr>
              <w:t>NÚMERO DE SERVICIOS EDUCATIVOS COMPLEMENTARIOS REALIZADOS</w:t>
            </w:r>
          </w:p>
        </w:tc>
        <w:tc>
          <w:tcPr>
            <w:tcW w:w="2913" w:type="dxa"/>
          </w:tcPr>
          <w:p w14:paraId="05E0E2A5" w14:textId="77777777" w:rsidR="009919DB" w:rsidRPr="00835574" w:rsidRDefault="009919DB" w:rsidP="009F17D2">
            <w:pPr>
              <w:pStyle w:val="Sinespaciado"/>
              <w:rPr>
                <w:i/>
                <w:iCs/>
              </w:rPr>
            </w:pPr>
            <w:r w:rsidRPr="00835574">
              <w:rPr>
                <w:i/>
                <w:iCs/>
              </w:rPr>
              <w:t>4.00</w:t>
            </w:r>
          </w:p>
        </w:tc>
      </w:tr>
      <w:tr w:rsidR="00835574" w:rsidRPr="00835574" w14:paraId="59301B67" w14:textId="77777777" w:rsidTr="009F17D2">
        <w:tc>
          <w:tcPr>
            <w:tcW w:w="2952" w:type="dxa"/>
          </w:tcPr>
          <w:p w14:paraId="49FE1225" w14:textId="77777777" w:rsidR="009919DB" w:rsidRPr="00835574" w:rsidRDefault="009919DB" w:rsidP="009F17D2">
            <w:pPr>
              <w:pStyle w:val="Sinespaciado"/>
              <w:jc w:val="both"/>
              <w:rPr>
                <w:b/>
                <w:bCs/>
                <w:i/>
                <w:iCs/>
              </w:rPr>
            </w:pPr>
          </w:p>
        </w:tc>
        <w:tc>
          <w:tcPr>
            <w:tcW w:w="2963" w:type="dxa"/>
          </w:tcPr>
          <w:p w14:paraId="330AEA7C" w14:textId="77777777" w:rsidR="009919DB" w:rsidRPr="00835574" w:rsidRDefault="009919DB" w:rsidP="009F17D2">
            <w:pPr>
              <w:pStyle w:val="Sinespaciado"/>
              <w:rPr>
                <w:i/>
                <w:iCs/>
              </w:rPr>
            </w:pPr>
            <w:r w:rsidRPr="00835574">
              <w:rPr>
                <w:i/>
                <w:iCs/>
              </w:rPr>
              <w:t>SERVICIOS EDUCATIVOS COMPLEMENTARIOS REALIZADOS</w:t>
            </w:r>
          </w:p>
        </w:tc>
        <w:tc>
          <w:tcPr>
            <w:tcW w:w="2913" w:type="dxa"/>
          </w:tcPr>
          <w:p w14:paraId="44D2771B" w14:textId="77777777" w:rsidR="009919DB" w:rsidRPr="00835574" w:rsidRDefault="009919DB" w:rsidP="009F17D2">
            <w:pPr>
              <w:pStyle w:val="Sinespaciado"/>
              <w:rPr>
                <w:i/>
                <w:iCs/>
              </w:rPr>
            </w:pPr>
            <w:r w:rsidRPr="00835574">
              <w:rPr>
                <w:i/>
                <w:iCs/>
              </w:rPr>
              <w:t>4.00</w:t>
            </w:r>
          </w:p>
        </w:tc>
      </w:tr>
      <w:tr w:rsidR="00835574" w:rsidRPr="00835574" w14:paraId="7586DC63" w14:textId="77777777" w:rsidTr="009F17D2">
        <w:tc>
          <w:tcPr>
            <w:tcW w:w="2952" w:type="dxa"/>
          </w:tcPr>
          <w:p w14:paraId="25981B08" w14:textId="77777777" w:rsidR="009919DB" w:rsidRPr="00835574" w:rsidRDefault="009919DB" w:rsidP="009F17D2">
            <w:pPr>
              <w:pStyle w:val="Sinespaciado"/>
              <w:jc w:val="both"/>
              <w:rPr>
                <w:b/>
                <w:bCs/>
                <w:i/>
                <w:iCs/>
              </w:rPr>
            </w:pPr>
          </w:p>
        </w:tc>
        <w:tc>
          <w:tcPr>
            <w:tcW w:w="2963" w:type="dxa"/>
          </w:tcPr>
          <w:p w14:paraId="5751C8DD" w14:textId="77777777" w:rsidR="009919DB" w:rsidRPr="00835574" w:rsidRDefault="009919DB" w:rsidP="009F17D2">
            <w:pPr>
              <w:pStyle w:val="Sinespaciado"/>
              <w:rPr>
                <w:i/>
                <w:iCs/>
              </w:rPr>
            </w:pPr>
            <w:r w:rsidRPr="00835574">
              <w:rPr>
                <w:i/>
                <w:iCs/>
              </w:rPr>
              <w:t> ESTUDIANTES DE INSTITUCIONES INCORPORADAS AL GOBIERNO DEL ESTADO CON ATENCIÓN DE CONTROL ESCOLAR</w:t>
            </w:r>
          </w:p>
        </w:tc>
        <w:tc>
          <w:tcPr>
            <w:tcW w:w="2913" w:type="dxa"/>
          </w:tcPr>
          <w:p w14:paraId="7793A0A5" w14:textId="77777777" w:rsidR="009919DB" w:rsidRPr="00835574" w:rsidRDefault="009919DB" w:rsidP="009F17D2">
            <w:pPr>
              <w:pStyle w:val="Sinespaciado"/>
              <w:rPr>
                <w:i/>
                <w:iCs/>
              </w:rPr>
            </w:pPr>
            <w:r w:rsidRPr="00835574">
              <w:rPr>
                <w:i/>
                <w:iCs/>
              </w:rPr>
              <w:t>1,000.00</w:t>
            </w:r>
          </w:p>
        </w:tc>
      </w:tr>
      <w:tr w:rsidR="00835574" w:rsidRPr="00835574" w14:paraId="5CBD4111" w14:textId="77777777" w:rsidTr="009F17D2">
        <w:tc>
          <w:tcPr>
            <w:tcW w:w="2952" w:type="dxa"/>
          </w:tcPr>
          <w:p w14:paraId="51C1CB4F" w14:textId="77777777" w:rsidR="009919DB" w:rsidRPr="00835574" w:rsidRDefault="009919DB" w:rsidP="009F17D2">
            <w:pPr>
              <w:pStyle w:val="Sinespaciado"/>
              <w:jc w:val="both"/>
              <w:rPr>
                <w:b/>
                <w:bCs/>
                <w:i/>
                <w:iCs/>
              </w:rPr>
            </w:pPr>
          </w:p>
        </w:tc>
        <w:tc>
          <w:tcPr>
            <w:tcW w:w="2963" w:type="dxa"/>
          </w:tcPr>
          <w:p w14:paraId="12A16D98" w14:textId="77777777" w:rsidR="009919DB" w:rsidRPr="00835574" w:rsidRDefault="009919DB" w:rsidP="009F17D2">
            <w:pPr>
              <w:pStyle w:val="Sinespaciado"/>
              <w:rPr>
                <w:i/>
                <w:iCs/>
              </w:rPr>
            </w:pPr>
            <w:r w:rsidRPr="00835574">
              <w:rPr>
                <w:i/>
                <w:iCs/>
              </w:rPr>
              <w:t>NÚMERO DE DICTÁMENES DE REVALIDACIONES Y EQUIVALENCIAS EMITIDOS</w:t>
            </w:r>
          </w:p>
        </w:tc>
        <w:tc>
          <w:tcPr>
            <w:tcW w:w="2913" w:type="dxa"/>
          </w:tcPr>
          <w:p w14:paraId="55F6162B" w14:textId="77777777" w:rsidR="009919DB" w:rsidRPr="00835574" w:rsidRDefault="009919DB" w:rsidP="009F17D2">
            <w:pPr>
              <w:pStyle w:val="Sinespaciado"/>
              <w:rPr>
                <w:i/>
                <w:iCs/>
              </w:rPr>
            </w:pPr>
            <w:r w:rsidRPr="00835574">
              <w:rPr>
                <w:i/>
                <w:iCs/>
              </w:rPr>
              <w:t>8.00</w:t>
            </w:r>
          </w:p>
        </w:tc>
      </w:tr>
      <w:tr w:rsidR="00835574" w:rsidRPr="00835574" w14:paraId="12CD88B6" w14:textId="77777777" w:rsidTr="009F17D2">
        <w:tc>
          <w:tcPr>
            <w:tcW w:w="2952" w:type="dxa"/>
          </w:tcPr>
          <w:p w14:paraId="63761406" w14:textId="77777777" w:rsidR="009919DB" w:rsidRPr="00835574" w:rsidRDefault="009919DB" w:rsidP="009F17D2">
            <w:pPr>
              <w:pStyle w:val="Sinespaciado"/>
              <w:jc w:val="both"/>
              <w:rPr>
                <w:b/>
                <w:bCs/>
                <w:i/>
                <w:iCs/>
              </w:rPr>
            </w:pPr>
          </w:p>
        </w:tc>
        <w:tc>
          <w:tcPr>
            <w:tcW w:w="2963" w:type="dxa"/>
          </w:tcPr>
          <w:p w14:paraId="43EB04C5" w14:textId="77777777" w:rsidR="009919DB" w:rsidRPr="00835574" w:rsidRDefault="009919DB" w:rsidP="009F17D2">
            <w:pPr>
              <w:pStyle w:val="Sinespaciado"/>
              <w:rPr>
                <w:i/>
                <w:iCs/>
              </w:rPr>
            </w:pPr>
            <w:r w:rsidRPr="00835574">
              <w:rPr>
                <w:i/>
                <w:iCs/>
              </w:rPr>
              <w:t>NÚMERO DE DICTÁMENES DE REVALIDACIONES Y EQUIVALENCIAS EMITIDOS</w:t>
            </w:r>
          </w:p>
        </w:tc>
        <w:tc>
          <w:tcPr>
            <w:tcW w:w="2913" w:type="dxa"/>
          </w:tcPr>
          <w:p w14:paraId="2A22C432" w14:textId="77777777" w:rsidR="009919DB" w:rsidRPr="00835574" w:rsidRDefault="009919DB" w:rsidP="009F17D2">
            <w:pPr>
              <w:pStyle w:val="Sinespaciado"/>
              <w:rPr>
                <w:i/>
                <w:iCs/>
              </w:rPr>
            </w:pPr>
            <w:r w:rsidRPr="00835574">
              <w:rPr>
                <w:i/>
                <w:iCs/>
              </w:rPr>
              <w:t>160.00</w:t>
            </w:r>
          </w:p>
        </w:tc>
      </w:tr>
      <w:tr w:rsidR="00835574" w:rsidRPr="00835574" w14:paraId="2275DE27" w14:textId="77777777" w:rsidTr="009F17D2">
        <w:tc>
          <w:tcPr>
            <w:tcW w:w="2952" w:type="dxa"/>
          </w:tcPr>
          <w:p w14:paraId="720259B9" w14:textId="77777777" w:rsidR="009919DB" w:rsidRPr="00835574" w:rsidRDefault="009919DB" w:rsidP="009F17D2">
            <w:pPr>
              <w:pStyle w:val="Sinespaciado"/>
              <w:rPr>
                <w:b/>
                <w:bCs/>
                <w:i/>
                <w:iCs/>
              </w:rPr>
            </w:pPr>
            <w:r w:rsidRPr="00835574">
              <w:rPr>
                <w:b/>
                <w:bCs/>
                <w:i/>
                <w:iCs/>
              </w:rPr>
              <w:lastRenderedPageBreak/>
              <w:t>NOMBRE DEL PROGRAMA</w:t>
            </w:r>
          </w:p>
        </w:tc>
        <w:tc>
          <w:tcPr>
            <w:tcW w:w="2963" w:type="dxa"/>
          </w:tcPr>
          <w:p w14:paraId="5F390378" w14:textId="77777777" w:rsidR="009919DB" w:rsidRPr="00835574" w:rsidRDefault="009919DB" w:rsidP="009F17D2">
            <w:pPr>
              <w:pStyle w:val="Sinespaciado"/>
              <w:rPr>
                <w:i/>
                <w:iCs/>
                <w:shd w:val="clear" w:color="auto" w:fill="F0F3F5"/>
              </w:rPr>
            </w:pPr>
            <w:r w:rsidRPr="00835574">
              <w:rPr>
                <w:b/>
                <w:bCs/>
                <w:i/>
                <w:iCs/>
              </w:rPr>
              <w:t>INDICADOR</w:t>
            </w:r>
          </w:p>
        </w:tc>
        <w:tc>
          <w:tcPr>
            <w:tcW w:w="2913" w:type="dxa"/>
          </w:tcPr>
          <w:p w14:paraId="2946F6C6" w14:textId="77777777" w:rsidR="009919DB" w:rsidRPr="00835574" w:rsidRDefault="009919DB" w:rsidP="009F17D2">
            <w:pPr>
              <w:pStyle w:val="Sinespaciado"/>
              <w:rPr>
                <w:i/>
                <w:iCs/>
                <w:shd w:val="clear" w:color="auto" w:fill="F0F3F5"/>
              </w:rPr>
            </w:pPr>
            <w:r w:rsidRPr="00835574">
              <w:rPr>
                <w:b/>
                <w:bCs/>
                <w:i/>
                <w:iCs/>
              </w:rPr>
              <w:t>META</w:t>
            </w:r>
          </w:p>
        </w:tc>
      </w:tr>
      <w:tr w:rsidR="00835574" w:rsidRPr="00835574" w14:paraId="13386CDC" w14:textId="77777777" w:rsidTr="009F17D2">
        <w:tc>
          <w:tcPr>
            <w:tcW w:w="2952" w:type="dxa"/>
          </w:tcPr>
          <w:p w14:paraId="1ED837F1" w14:textId="77777777" w:rsidR="009919DB" w:rsidRPr="00835574" w:rsidRDefault="009919DB" w:rsidP="009F17D2">
            <w:pPr>
              <w:pStyle w:val="Sinespaciado"/>
              <w:rPr>
                <w:b/>
                <w:bCs/>
                <w:i/>
                <w:iCs/>
              </w:rPr>
            </w:pPr>
            <w:r w:rsidRPr="00835574">
              <w:rPr>
                <w:i/>
                <w:iCs/>
              </w:rPr>
              <w:t>156 VINCULACION DE LAS INSTITUCIONES DE NIVEL SUPERIOR CON EL SECTOR PRODUCTIVO Y SOCIAL</w:t>
            </w:r>
          </w:p>
        </w:tc>
        <w:tc>
          <w:tcPr>
            <w:tcW w:w="2963" w:type="dxa"/>
          </w:tcPr>
          <w:p w14:paraId="67E6CDBF" w14:textId="77777777" w:rsidR="009919DB" w:rsidRPr="00835574" w:rsidRDefault="009919DB" w:rsidP="009F17D2">
            <w:pPr>
              <w:pStyle w:val="Sinespaciado"/>
              <w:rPr>
                <w:i/>
                <w:iCs/>
              </w:rPr>
            </w:pPr>
            <w:r w:rsidRPr="00835574">
              <w:rPr>
                <w:i/>
                <w:iCs/>
              </w:rPr>
              <w:t>NÚMERO DE CAPACITACIONES OTORGADAS</w:t>
            </w:r>
          </w:p>
        </w:tc>
        <w:tc>
          <w:tcPr>
            <w:tcW w:w="2913" w:type="dxa"/>
          </w:tcPr>
          <w:p w14:paraId="1C70173E" w14:textId="77777777" w:rsidR="009919DB" w:rsidRPr="00835574" w:rsidRDefault="009919DB" w:rsidP="009F17D2">
            <w:pPr>
              <w:pStyle w:val="Sinespaciado"/>
              <w:rPr>
                <w:i/>
                <w:iCs/>
              </w:rPr>
            </w:pPr>
            <w:r w:rsidRPr="00835574">
              <w:rPr>
                <w:i/>
                <w:iCs/>
              </w:rPr>
              <w:t>40.00</w:t>
            </w:r>
          </w:p>
        </w:tc>
      </w:tr>
      <w:tr w:rsidR="00835574" w:rsidRPr="00835574" w14:paraId="79A8A838" w14:textId="77777777" w:rsidTr="009F17D2">
        <w:tc>
          <w:tcPr>
            <w:tcW w:w="2952" w:type="dxa"/>
          </w:tcPr>
          <w:p w14:paraId="76B4E466" w14:textId="77777777" w:rsidR="009919DB" w:rsidRPr="00835574" w:rsidRDefault="009919DB" w:rsidP="009F17D2">
            <w:pPr>
              <w:pStyle w:val="Sinespaciado"/>
              <w:jc w:val="both"/>
              <w:rPr>
                <w:b/>
                <w:bCs/>
                <w:i/>
                <w:iCs/>
              </w:rPr>
            </w:pPr>
          </w:p>
        </w:tc>
        <w:tc>
          <w:tcPr>
            <w:tcW w:w="2963" w:type="dxa"/>
          </w:tcPr>
          <w:p w14:paraId="14AB0AE7" w14:textId="77777777" w:rsidR="009919DB" w:rsidRPr="00835574" w:rsidRDefault="009919DB" w:rsidP="009F17D2">
            <w:pPr>
              <w:pStyle w:val="Sinespaciado"/>
              <w:rPr>
                <w:i/>
                <w:iCs/>
              </w:rPr>
            </w:pPr>
            <w:r w:rsidRPr="00835574">
              <w:rPr>
                <w:i/>
                <w:iCs/>
              </w:rPr>
              <w:t>NÚMERO DE SERVICIOS DE CONSULTORÍA OTORGADOS</w:t>
            </w:r>
          </w:p>
        </w:tc>
        <w:tc>
          <w:tcPr>
            <w:tcW w:w="2913" w:type="dxa"/>
          </w:tcPr>
          <w:p w14:paraId="00CDFE7D" w14:textId="77777777" w:rsidR="009919DB" w:rsidRPr="00835574" w:rsidRDefault="009919DB" w:rsidP="009F17D2">
            <w:pPr>
              <w:pStyle w:val="Sinespaciado"/>
              <w:rPr>
                <w:i/>
                <w:iCs/>
              </w:rPr>
            </w:pPr>
            <w:r w:rsidRPr="00835574">
              <w:rPr>
                <w:i/>
                <w:iCs/>
              </w:rPr>
              <w:t>2.00</w:t>
            </w:r>
          </w:p>
        </w:tc>
      </w:tr>
      <w:tr w:rsidR="009919DB" w:rsidRPr="00835574" w14:paraId="0E2B40B8" w14:textId="77777777" w:rsidTr="009F17D2">
        <w:tc>
          <w:tcPr>
            <w:tcW w:w="2952" w:type="dxa"/>
          </w:tcPr>
          <w:p w14:paraId="564A6FFE" w14:textId="77777777" w:rsidR="009919DB" w:rsidRPr="00835574" w:rsidRDefault="009919DB" w:rsidP="009F17D2">
            <w:pPr>
              <w:pStyle w:val="Sinespaciado"/>
              <w:jc w:val="both"/>
              <w:rPr>
                <w:b/>
                <w:bCs/>
                <w:i/>
                <w:iCs/>
              </w:rPr>
            </w:pPr>
          </w:p>
        </w:tc>
        <w:tc>
          <w:tcPr>
            <w:tcW w:w="2963" w:type="dxa"/>
          </w:tcPr>
          <w:p w14:paraId="00B74E33" w14:textId="77777777" w:rsidR="009919DB" w:rsidRPr="00835574" w:rsidRDefault="009919DB" w:rsidP="009F17D2">
            <w:pPr>
              <w:pStyle w:val="Sinespaciado"/>
              <w:rPr>
                <w:i/>
                <w:iCs/>
              </w:rPr>
            </w:pPr>
            <w:r w:rsidRPr="00835574">
              <w:rPr>
                <w:i/>
                <w:iCs/>
              </w:rPr>
              <w:t>NÚMERO DE CONVENIOS FIRMADOS</w:t>
            </w:r>
          </w:p>
        </w:tc>
        <w:tc>
          <w:tcPr>
            <w:tcW w:w="2913" w:type="dxa"/>
          </w:tcPr>
          <w:p w14:paraId="133FB5B9" w14:textId="77777777" w:rsidR="009919DB" w:rsidRPr="00835574" w:rsidRDefault="009919DB" w:rsidP="009F17D2">
            <w:pPr>
              <w:pStyle w:val="Sinespaciado"/>
              <w:rPr>
                <w:i/>
                <w:iCs/>
              </w:rPr>
            </w:pPr>
            <w:r w:rsidRPr="00835574">
              <w:rPr>
                <w:i/>
                <w:iCs/>
              </w:rPr>
              <w:t>40.00</w:t>
            </w:r>
          </w:p>
        </w:tc>
      </w:tr>
    </w:tbl>
    <w:p w14:paraId="2E52B50E" w14:textId="77777777" w:rsidR="00082EAB" w:rsidRPr="00835574" w:rsidRDefault="00082EAB" w:rsidP="00421E8E">
      <w:pPr>
        <w:pStyle w:val="Sinespaciado"/>
        <w:jc w:val="both"/>
      </w:pPr>
    </w:p>
    <w:p w14:paraId="6BCBE6D5" w14:textId="31313BA5" w:rsidR="00B14653" w:rsidRPr="00835574" w:rsidRDefault="00B14653">
      <w:pPr>
        <w:pStyle w:val="Sinespaciado"/>
        <w:numPr>
          <w:ilvl w:val="0"/>
          <w:numId w:val="19"/>
        </w:numPr>
        <w:jc w:val="both"/>
        <w:rPr>
          <w:b/>
          <w:bCs/>
        </w:rPr>
      </w:pPr>
      <w:r w:rsidRPr="00835574">
        <w:rPr>
          <w:b/>
          <w:bCs/>
        </w:rPr>
        <w:t>DESCRIPCIÓN DE RIESGOS RELEVANTES Y PROPUESTAS DE ACCIÓN PARA ENFRENTARLOS</w:t>
      </w:r>
    </w:p>
    <w:p w14:paraId="48CA03E7" w14:textId="77777777" w:rsidR="008D3E34" w:rsidRPr="00835574" w:rsidRDefault="008D3E34" w:rsidP="00421E8E">
      <w:pPr>
        <w:pStyle w:val="Sinespaciado"/>
        <w:jc w:val="both"/>
        <w:rPr>
          <w:b/>
          <w:bCs/>
        </w:rPr>
      </w:pPr>
    </w:p>
    <w:p w14:paraId="346FA40E" w14:textId="06BA6169" w:rsidR="00B14653" w:rsidRPr="00835574" w:rsidRDefault="00B14653" w:rsidP="00421E8E">
      <w:pPr>
        <w:pStyle w:val="Sinespaciado"/>
        <w:jc w:val="both"/>
      </w:pPr>
      <w:r w:rsidRPr="00835574">
        <w:t>De conformidad con lo dispuesto en el artículo 5, fracción III de la Ley de Disciplina, se enlistan los riesgos que pudiera enfrentar el Estado durante el ejercicio fiscal 202</w:t>
      </w:r>
      <w:r w:rsidR="009919DB" w:rsidRPr="00835574">
        <w:t>3</w:t>
      </w:r>
      <w:r w:rsidRPr="00835574">
        <w:t>.</w:t>
      </w:r>
    </w:p>
    <w:p w14:paraId="57D61570" w14:textId="77777777" w:rsidR="008D3E34" w:rsidRPr="00835574" w:rsidRDefault="008D3E34" w:rsidP="00421E8E">
      <w:pPr>
        <w:pStyle w:val="Sinespaciado"/>
        <w:jc w:val="both"/>
      </w:pPr>
    </w:p>
    <w:p w14:paraId="1D010FCD" w14:textId="50D60564" w:rsidR="0087643F" w:rsidRPr="00835574" w:rsidRDefault="0087643F">
      <w:pPr>
        <w:pStyle w:val="Sinespaciado"/>
        <w:numPr>
          <w:ilvl w:val="0"/>
          <w:numId w:val="16"/>
        </w:numPr>
        <w:jc w:val="both"/>
      </w:pPr>
      <w:r w:rsidRPr="00835574">
        <w:t>Riesgos Nacionales e Internacionales</w:t>
      </w:r>
    </w:p>
    <w:p w14:paraId="730E17EB" w14:textId="77777777" w:rsidR="0087643F" w:rsidRPr="00835574" w:rsidRDefault="0087643F" w:rsidP="00421E8E">
      <w:pPr>
        <w:pStyle w:val="Sinespaciado"/>
        <w:jc w:val="both"/>
      </w:pPr>
    </w:p>
    <w:p w14:paraId="550654BC" w14:textId="3B0FCB67" w:rsidR="00B14653" w:rsidRPr="00835574" w:rsidRDefault="00B14653">
      <w:pPr>
        <w:pStyle w:val="Sinespaciado"/>
        <w:numPr>
          <w:ilvl w:val="0"/>
          <w:numId w:val="17"/>
        </w:numPr>
        <w:jc w:val="both"/>
      </w:pPr>
      <w:r w:rsidRPr="00835574">
        <w:t>Una agudización del conflicto bélico entre Rusia y Ucrania, y el impacto a la economía de Europa por las sanciones impuestas a Rusia. Lo anterior podría afectar a México vía una mayor volatilidad en los precios de energéticos, desabasto de fertilizantes, alimentos, así como una menor inversión extranjera directa y caídas en los flujos financieros.</w:t>
      </w:r>
    </w:p>
    <w:p w14:paraId="67FAF539" w14:textId="77777777" w:rsidR="004A4222" w:rsidRPr="00835574" w:rsidRDefault="004A4222" w:rsidP="00421E8E">
      <w:pPr>
        <w:pStyle w:val="Sinespaciado"/>
        <w:jc w:val="both"/>
      </w:pPr>
    </w:p>
    <w:p w14:paraId="04642380" w14:textId="25EE6981" w:rsidR="004A4222" w:rsidRPr="00835574" w:rsidRDefault="004A4222">
      <w:pPr>
        <w:pStyle w:val="Sinespaciado"/>
        <w:numPr>
          <w:ilvl w:val="0"/>
          <w:numId w:val="17"/>
        </w:numPr>
        <w:jc w:val="both"/>
      </w:pPr>
      <w:r w:rsidRPr="00835574">
        <w:t>Tensiones sociales y políticas ocasionadas por un ambiente de alta inflación global y/o desabasto de alimentos.</w:t>
      </w:r>
    </w:p>
    <w:p w14:paraId="4F8B364B" w14:textId="77777777" w:rsidR="00B14653" w:rsidRPr="00835574" w:rsidRDefault="00B14653" w:rsidP="00421E8E">
      <w:pPr>
        <w:pStyle w:val="Sinespaciado"/>
        <w:jc w:val="both"/>
      </w:pPr>
    </w:p>
    <w:p w14:paraId="6DF2DED6" w14:textId="2A25E5C7" w:rsidR="00B14653" w:rsidRPr="00835574" w:rsidRDefault="00B14653">
      <w:pPr>
        <w:pStyle w:val="Sinespaciado"/>
        <w:numPr>
          <w:ilvl w:val="0"/>
          <w:numId w:val="17"/>
        </w:numPr>
        <w:jc w:val="both"/>
      </w:pPr>
      <w:r w:rsidRPr="00835574">
        <w:t xml:space="preserve">Una mayor persistencia </w:t>
      </w:r>
      <w:r w:rsidR="00F359FB" w:rsidRPr="00835574">
        <w:t>de</w:t>
      </w:r>
      <w:r w:rsidRPr="00835574">
        <w:t xml:space="preserve"> la esperada inflación</w:t>
      </w:r>
      <w:r w:rsidR="004946E3" w:rsidRPr="00835574">
        <w:t>,</w:t>
      </w:r>
      <w:r w:rsidRPr="00835574">
        <w:t xml:space="preserve"> presionando el precio de los alimentos y combustibles, </w:t>
      </w:r>
      <w:r w:rsidR="00F77FC9" w:rsidRPr="00835574">
        <w:t>y,</w:t>
      </w:r>
      <w:r w:rsidRPr="00835574">
        <w:t xml:space="preserve"> por </w:t>
      </w:r>
      <w:r w:rsidR="00A2641A" w:rsidRPr="00835574">
        <w:t xml:space="preserve">lo </w:t>
      </w:r>
      <w:r w:rsidR="00F77FC9" w:rsidRPr="00835574">
        <w:t>tanto,</w:t>
      </w:r>
      <w:r w:rsidRPr="00835574">
        <w:t xml:space="preserve"> una postura monetaria más restrictiva de la FED generando condiciones financieras restrictivas en EE.UU. y el resto de los países emergentes.</w:t>
      </w:r>
    </w:p>
    <w:p w14:paraId="0FA77FD2" w14:textId="77777777" w:rsidR="004A4222" w:rsidRPr="00835574" w:rsidRDefault="004A4222" w:rsidP="00421E8E">
      <w:pPr>
        <w:pStyle w:val="Sinespaciado"/>
        <w:jc w:val="both"/>
      </w:pPr>
    </w:p>
    <w:p w14:paraId="0EE2035B" w14:textId="1B7CFAF0" w:rsidR="004A4222" w:rsidRPr="00835574" w:rsidRDefault="004A4222">
      <w:pPr>
        <w:pStyle w:val="Sinespaciado"/>
        <w:numPr>
          <w:ilvl w:val="0"/>
          <w:numId w:val="17"/>
        </w:numPr>
        <w:jc w:val="both"/>
      </w:pPr>
      <w:r w:rsidRPr="00835574">
        <w:t>Un débil crecimiento económico global derivado de los fuertes incrementos en la tasa de interés de referencia de los bancos centrales, junto con una alta inflación, explicada principalmente por factores de oferta.</w:t>
      </w:r>
    </w:p>
    <w:p w14:paraId="268BDE54" w14:textId="77777777" w:rsidR="00B14653" w:rsidRPr="00835574" w:rsidRDefault="00B14653" w:rsidP="00421E8E">
      <w:pPr>
        <w:pStyle w:val="Sinespaciado"/>
        <w:jc w:val="both"/>
      </w:pPr>
    </w:p>
    <w:p w14:paraId="5C4B4996" w14:textId="2ACA920F" w:rsidR="00B14653" w:rsidRPr="00835574" w:rsidRDefault="004A4222">
      <w:pPr>
        <w:pStyle w:val="Sinespaciado"/>
        <w:numPr>
          <w:ilvl w:val="0"/>
          <w:numId w:val="17"/>
        </w:numPr>
        <w:jc w:val="both"/>
      </w:pPr>
      <w:r w:rsidRPr="00835574">
        <w:t>Falta de resolución de discrepancias en materia comercial entre los países del T-MEC que desencadene sanciones relacionadas a aranceles.</w:t>
      </w:r>
    </w:p>
    <w:p w14:paraId="3852247D" w14:textId="77777777" w:rsidR="004A4222" w:rsidRPr="00835574" w:rsidRDefault="004A4222" w:rsidP="00421E8E">
      <w:pPr>
        <w:pStyle w:val="Sinespaciado"/>
        <w:jc w:val="both"/>
      </w:pPr>
    </w:p>
    <w:p w14:paraId="20C90ED8" w14:textId="219E7E80" w:rsidR="00B14653" w:rsidRPr="00835574" w:rsidRDefault="00B14653">
      <w:pPr>
        <w:pStyle w:val="Sinespaciado"/>
        <w:numPr>
          <w:ilvl w:val="0"/>
          <w:numId w:val="17"/>
        </w:numPr>
        <w:jc w:val="both"/>
      </w:pPr>
      <w:r w:rsidRPr="00835574">
        <w:t>Desaceleración económica de China por problemas estructurales de su economía, en particular, por una menor inversión en el sector inmobiliario que reduciría los precios de materias primas.</w:t>
      </w:r>
    </w:p>
    <w:p w14:paraId="1D366164" w14:textId="77777777" w:rsidR="004A4222" w:rsidRPr="00835574" w:rsidRDefault="004A4222" w:rsidP="00421E8E">
      <w:pPr>
        <w:pStyle w:val="Sinespaciado"/>
        <w:jc w:val="both"/>
      </w:pPr>
    </w:p>
    <w:p w14:paraId="5867B277" w14:textId="3E81D2BF" w:rsidR="004A4222" w:rsidRPr="00835574" w:rsidRDefault="004A4222">
      <w:pPr>
        <w:pStyle w:val="Sinespaciado"/>
        <w:numPr>
          <w:ilvl w:val="0"/>
          <w:numId w:val="17"/>
        </w:numPr>
        <w:jc w:val="both"/>
      </w:pPr>
      <w:r w:rsidRPr="00835574">
        <w:lastRenderedPageBreak/>
        <w:t>Las negociaciones en curso para reactivar el acuerdo nuclear de 2015 que se llevan actualmente entre Irán, por un lado, y EE.UU., Reino Unido, Francia y Alemania, por el otro, podría permitir el retorno del crudo iraní, adicionando 1</w:t>
      </w:r>
      <w:r w:rsidR="00E3780C" w:rsidRPr="00835574">
        <w:t xml:space="preserve"> Millón de barriles diarios</w:t>
      </w:r>
      <w:r w:rsidRPr="00835574">
        <w:t xml:space="preserve"> </w:t>
      </w:r>
      <w:r w:rsidR="00E3780C" w:rsidRPr="00835574">
        <w:t>(</w:t>
      </w:r>
      <w:r w:rsidRPr="00835574">
        <w:t>M</w:t>
      </w:r>
      <w:r w:rsidR="00E3780C" w:rsidRPr="00835574">
        <w:t xml:space="preserve">bd) </w:t>
      </w:r>
      <w:r w:rsidRPr="00835574">
        <w:t>al mercado global, lo que podría reducir el precio del petróleo a nivel internacional.</w:t>
      </w:r>
    </w:p>
    <w:p w14:paraId="58FA3695" w14:textId="77777777" w:rsidR="0087643F" w:rsidRPr="00835574" w:rsidRDefault="0087643F" w:rsidP="00421E8E">
      <w:pPr>
        <w:pStyle w:val="Sinespaciado"/>
        <w:jc w:val="both"/>
      </w:pPr>
    </w:p>
    <w:p w14:paraId="0BD72D86" w14:textId="7497DBE2" w:rsidR="0087643F" w:rsidRDefault="0087643F">
      <w:pPr>
        <w:pStyle w:val="Sinespaciado"/>
        <w:numPr>
          <w:ilvl w:val="0"/>
          <w:numId w:val="16"/>
        </w:numPr>
        <w:jc w:val="both"/>
      </w:pPr>
      <w:r w:rsidRPr="00835574">
        <w:t>Riesgos Estatales</w:t>
      </w:r>
    </w:p>
    <w:p w14:paraId="00DB51E2" w14:textId="77777777" w:rsidR="000A0672" w:rsidRPr="00835574" w:rsidRDefault="000A0672" w:rsidP="000A0672">
      <w:pPr>
        <w:pStyle w:val="Sinespaciado"/>
        <w:ind w:left="720"/>
        <w:jc w:val="both"/>
      </w:pPr>
    </w:p>
    <w:p w14:paraId="76BE43B1" w14:textId="6E10C149" w:rsidR="0087643F" w:rsidRPr="00835574" w:rsidRDefault="0087643F">
      <w:pPr>
        <w:pStyle w:val="Sinespaciado"/>
        <w:numPr>
          <w:ilvl w:val="0"/>
          <w:numId w:val="18"/>
        </w:numPr>
        <w:jc w:val="both"/>
      </w:pPr>
      <w:r w:rsidRPr="00835574">
        <w:t xml:space="preserve">A pesar de los esfuerzos realizados por el </w:t>
      </w:r>
      <w:r w:rsidR="008D3E34" w:rsidRPr="00835574">
        <w:t>Gobierno del Estado</w:t>
      </w:r>
      <w:r w:rsidRPr="00835574">
        <w:t xml:space="preserve"> para disminuir las obligaciones crediticias, así como para contener el crecimiento del gasto corriente, el riesgo más relevante para las fi</w:t>
      </w:r>
      <w:r w:rsidR="0013230B" w:rsidRPr="00835574">
        <w:t>n</w:t>
      </w:r>
      <w:r w:rsidRPr="00835574">
        <w:t xml:space="preserve">anzas </w:t>
      </w:r>
      <w:r w:rsidR="008D3E34" w:rsidRPr="00835574">
        <w:t>de la Entidad</w:t>
      </w:r>
      <w:r w:rsidRPr="00835574">
        <w:t xml:space="preserve">, radica en el sistema de pensiones del Gobierno del Estado. Toda vez que el estudio actuarial realizado por la empresa Valuaciones Actuariales del Norte, S. C. y entregado a la Oficina de Pensiones del Estado de Oaxaca el día 29 de octubre del 2021, indicaba que el Fondo de Pensiones de los trabajadores, jubilados, pensionados y pensionistas del Gobierno del Estado de Oaxaca (Fondo de Pensiones) requeriría de un subsidio de 271.10 mdp para el 2021. A partir de esa fecha se preveía que dicho Fondo requeriría de aportaciones extraordinarias crecientes, es decir, el año señalado para la descapitalización del mismo </w:t>
      </w:r>
      <w:r w:rsidR="002E228E">
        <w:t>es</w:t>
      </w:r>
      <w:r w:rsidRPr="00835574">
        <w:t xml:space="preserve"> el 2022, en el cual, para hacer frente a sus compromisos deber</w:t>
      </w:r>
      <w:r w:rsidR="002E228E">
        <w:t>ía</w:t>
      </w:r>
      <w:r w:rsidRPr="00835574">
        <w:t xml:space="preserve"> consumir el capital social que posee. </w:t>
      </w:r>
    </w:p>
    <w:p w14:paraId="1C6AB3D0" w14:textId="448104AF" w:rsidR="00C35153" w:rsidRPr="00835574" w:rsidRDefault="00C35153" w:rsidP="00C35153">
      <w:pPr>
        <w:pStyle w:val="Sinespaciado"/>
        <w:ind w:left="720"/>
        <w:jc w:val="both"/>
      </w:pPr>
    </w:p>
    <w:p w14:paraId="4AD3BA02" w14:textId="77777777" w:rsidR="00C35153" w:rsidRPr="00835574" w:rsidRDefault="00C35153" w:rsidP="00C35153">
      <w:pPr>
        <w:pStyle w:val="Sinespaciado"/>
        <w:ind w:left="720"/>
        <w:jc w:val="both"/>
      </w:pPr>
      <w:r w:rsidRPr="00835574">
        <w:t>Por lo tanto, con fundamento en los artículos 47 fracción III de la Ley de Coordinación Fiscal; 7 de la Ley de Pensiones para los Trabajadores del Gobierno del Estado de Oaxaca; el Poder Ejecutivo destinará recursos extraordinarios al Fondo de Pensiones por el orden de 632 mdp, adicional a los 674.82 mdp que recibirá por concepto de las aportaciones patronales y para el pago directo de pensiones, lo anterior, con la finalidad de garantizar la estabilidad y suficiencia financiera del sistema de pensiones del Estado. Derivado de lo anterior, dicho Fondo para el ejercicio fiscal 2023, recibirá 1,306.82 mdp para hacer frente a sus compromisos financieros.</w:t>
      </w:r>
    </w:p>
    <w:p w14:paraId="1A3FD732" w14:textId="1E2F5389" w:rsidR="0087643F" w:rsidRPr="00835574" w:rsidRDefault="0087643F" w:rsidP="00421E8E">
      <w:pPr>
        <w:pStyle w:val="Sinespaciado"/>
        <w:jc w:val="both"/>
      </w:pPr>
    </w:p>
    <w:p w14:paraId="18A4755B" w14:textId="4962B26B" w:rsidR="0087643F" w:rsidRPr="00835574" w:rsidRDefault="0087643F">
      <w:pPr>
        <w:pStyle w:val="Sinespaciado"/>
        <w:numPr>
          <w:ilvl w:val="0"/>
          <w:numId w:val="16"/>
        </w:numPr>
        <w:jc w:val="both"/>
      </w:pPr>
      <w:r w:rsidRPr="00835574">
        <w:t>Acciones Adicionales para Enfrentar los Riesgos Relevantes</w:t>
      </w:r>
    </w:p>
    <w:p w14:paraId="278F71B9" w14:textId="02CE41B3" w:rsidR="0087643F" w:rsidRPr="00835574" w:rsidRDefault="0087643F" w:rsidP="00421E8E">
      <w:pPr>
        <w:pStyle w:val="Sinespaciado"/>
        <w:jc w:val="both"/>
      </w:pPr>
    </w:p>
    <w:p w14:paraId="3A95A1A4" w14:textId="087816EA" w:rsidR="00375256" w:rsidRPr="00835574" w:rsidRDefault="00375256">
      <w:pPr>
        <w:pStyle w:val="Sinespaciado"/>
        <w:numPr>
          <w:ilvl w:val="0"/>
          <w:numId w:val="18"/>
        </w:numPr>
        <w:jc w:val="both"/>
      </w:pPr>
      <w:r w:rsidRPr="00835574">
        <w:t xml:space="preserve">Se optimizarán los recursos humanos mediante el buen manejo de la estructura administrativa de las </w:t>
      </w:r>
      <w:r w:rsidR="00C35153" w:rsidRPr="00835574">
        <w:t>Dependencias y Entidades de la Administración Pública Estatal.</w:t>
      </w:r>
    </w:p>
    <w:p w14:paraId="1FA3D8D9" w14:textId="77777777" w:rsidR="00375256" w:rsidRPr="00835574" w:rsidRDefault="00375256" w:rsidP="00421E8E">
      <w:pPr>
        <w:pStyle w:val="Sinespaciado"/>
        <w:jc w:val="both"/>
      </w:pPr>
    </w:p>
    <w:p w14:paraId="6F90BD92" w14:textId="76C714DF" w:rsidR="00375256" w:rsidRPr="00835574" w:rsidRDefault="00375256">
      <w:pPr>
        <w:pStyle w:val="Sinespaciado"/>
        <w:numPr>
          <w:ilvl w:val="0"/>
          <w:numId w:val="18"/>
        </w:numPr>
        <w:jc w:val="both"/>
      </w:pPr>
      <w:r w:rsidRPr="00835574">
        <w:t>Todo incremento de sueldo, nuevas contrataciones y/</w:t>
      </w:r>
      <w:r w:rsidR="008D3E34" w:rsidRPr="00835574">
        <w:t>o</w:t>
      </w:r>
      <w:r w:rsidRPr="00835574">
        <w:t xml:space="preserve"> vacantes serán analizadas en la Dirección de Recursos Humanos de la Secretaría de Administración y, autorizadas con previo comunicado de </w:t>
      </w:r>
      <w:r w:rsidR="008D3E34" w:rsidRPr="00835574">
        <w:t>disponibilidad</w:t>
      </w:r>
      <w:r w:rsidRPr="00835574">
        <w:t xml:space="preserve"> presupuestaria por parte de la Secretaría de Finanzas.</w:t>
      </w:r>
    </w:p>
    <w:p w14:paraId="18975FE7" w14:textId="77777777" w:rsidR="008D3E34" w:rsidRPr="00835574" w:rsidRDefault="008D3E34" w:rsidP="00421E8E">
      <w:pPr>
        <w:pStyle w:val="Sinespaciado"/>
        <w:jc w:val="both"/>
      </w:pPr>
    </w:p>
    <w:p w14:paraId="19114104" w14:textId="5E8B0C1A" w:rsidR="00375256" w:rsidRPr="00835574" w:rsidRDefault="00375256">
      <w:pPr>
        <w:pStyle w:val="Sinespaciado"/>
        <w:numPr>
          <w:ilvl w:val="0"/>
          <w:numId w:val="18"/>
        </w:numPr>
        <w:jc w:val="both"/>
      </w:pPr>
      <w:r w:rsidRPr="00835574">
        <w:t>Seguimiento, evaluación y control de los recursos asignados y transferidos para conocer que el uso de los recursos se utilice de forma correcta.</w:t>
      </w:r>
    </w:p>
    <w:p w14:paraId="175C26AD" w14:textId="77777777" w:rsidR="00375256" w:rsidRPr="00835574" w:rsidRDefault="00375256" w:rsidP="00421E8E">
      <w:pPr>
        <w:pStyle w:val="Sinespaciado"/>
        <w:jc w:val="both"/>
      </w:pPr>
    </w:p>
    <w:p w14:paraId="45F7F4B8" w14:textId="77777777" w:rsidR="00375256" w:rsidRPr="00835574" w:rsidRDefault="00375256">
      <w:pPr>
        <w:pStyle w:val="Sinespaciado"/>
        <w:numPr>
          <w:ilvl w:val="0"/>
          <w:numId w:val="18"/>
        </w:numPr>
        <w:jc w:val="both"/>
      </w:pPr>
      <w:r w:rsidRPr="00835574">
        <w:lastRenderedPageBreak/>
        <w:t>Las Dependencias y Entidades que conforman la Administración Pública del Estado promoverán medidas de racionalización para el uso de material de oficina, vehículos oficiales, telefonía celular, viáticos, ahorro de energía, entre otros.</w:t>
      </w:r>
    </w:p>
    <w:p w14:paraId="75A9333F" w14:textId="77777777" w:rsidR="0087643F" w:rsidRPr="00835574" w:rsidRDefault="0087643F" w:rsidP="00421E8E">
      <w:pPr>
        <w:pStyle w:val="Sinespaciado"/>
        <w:jc w:val="both"/>
      </w:pPr>
    </w:p>
    <w:p w14:paraId="6157FC4E" w14:textId="2C89DC4F" w:rsidR="00082EAB" w:rsidRPr="00835574" w:rsidRDefault="00082EAB">
      <w:pPr>
        <w:pStyle w:val="Sinespaciado"/>
        <w:numPr>
          <w:ilvl w:val="0"/>
          <w:numId w:val="20"/>
        </w:numPr>
        <w:jc w:val="both"/>
        <w:rPr>
          <w:b/>
          <w:bCs/>
        </w:rPr>
      </w:pPr>
      <w:r w:rsidRPr="00835574">
        <w:rPr>
          <w:b/>
          <w:bCs/>
        </w:rPr>
        <w:t>RESULTADOS DE EJERCICIOS FISCALES ANTERIORES Y PROYECCIÓN DE EGRESOS</w:t>
      </w:r>
    </w:p>
    <w:p w14:paraId="6B87D6E1" w14:textId="77777777" w:rsidR="00894A8B" w:rsidRPr="00835574" w:rsidRDefault="00894A8B" w:rsidP="00421E8E">
      <w:pPr>
        <w:pStyle w:val="Sinespaciado"/>
        <w:jc w:val="both"/>
        <w:rPr>
          <w:b/>
          <w:bCs/>
        </w:rPr>
      </w:pPr>
    </w:p>
    <w:p w14:paraId="5FBA9204" w14:textId="5401E065" w:rsidR="005E3445" w:rsidRPr="00835574" w:rsidRDefault="00082EAB" w:rsidP="00AC1E3E">
      <w:pPr>
        <w:pStyle w:val="Sinespaciado"/>
        <w:jc w:val="both"/>
      </w:pPr>
      <w:r w:rsidRPr="00835574">
        <w:t>En cumplimiento al artículo 5, fracciones II y IV de la Ley de Disciplina, se presenta la proyección y los resultados de las finanzas públicas.</w:t>
      </w:r>
    </w:p>
    <w:p w14:paraId="4BCB51CB" w14:textId="06159523" w:rsidR="0033681B" w:rsidRPr="00835574" w:rsidRDefault="00082EAB" w:rsidP="00894A8B">
      <w:pPr>
        <w:pStyle w:val="Sinespaciado"/>
        <w:jc w:val="center"/>
      </w:pPr>
      <w:r w:rsidRPr="00835574">
        <w:t>Formato 7 d) Resultados de Egresos – LDF</w:t>
      </w:r>
    </w:p>
    <w:p w14:paraId="36293926" w14:textId="14DFCFD2" w:rsidR="00606C6B" w:rsidRPr="00835574" w:rsidRDefault="00375256" w:rsidP="00894A8B">
      <w:pPr>
        <w:pStyle w:val="Sinespaciado"/>
        <w:jc w:val="center"/>
      </w:pPr>
      <w:r w:rsidRPr="00835574">
        <w:t>Millones de pesos</w:t>
      </w:r>
    </w:p>
    <w:p w14:paraId="69346AC0" w14:textId="77777777" w:rsidR="000A7540" w:rsidRPr="00835574" w:rsidRDefault="000A7540" w:rsidP="00894A8B">
      <w:pPr>
        <w:pStyle w:val="Sinespaciado"/>
        <w:jc w:val="center"/>
      </w:pPr>
    </w:p>
    <w:tbl>
      <w:tblPr>
        <w:tblStyle w:val="Tablaconcuadrcula"/>
        <w:tblW w:w="0" w:type="auto"/>
        <w:tblLook w:val="04A0" w:firstRow="1" w:lastRow="0" w:firstColumn="1" w:lastColumn="0" w:noHBand="0" w:noVBand="1"/>
      </w:tblPr>
      <w:tblGrid>
        <w:gridCol w:w="3471"/>
        <w:gridCol w:w="870"/>
        <w:gridCol w:w="870"/>
        <w:gridCol w:w="870"/>
        <w:gridCol w:w="830"/>
        <w:gridCol w:w="830"/>
        <w:gridCol w:w="851"/>
      </w:tblGrid>
      <w:tr w:rsidR="00835574" w:rsidRPr="00835574" w14:paraId="14FBD621" w14:textId="46E8C8BE" w:rsidTr="000A7540">
        <w:trPr>
          <w:tblHeader/>
        </w:trPr>
        <w:tc>
          <w:tcPr>
            <w:tcW w:w="0" w:type="auto"/>
            <w:gridSpan w:val="7"/>
            <w:tcBorders>
              <w:bottom w:val="single" w:sz="4" w:space="0" w:color="auto"/>
            </w:tcBorders>
            <w:shd w:val="clear" w:color="auto" w:fill="E7E6E6" w:themeFill="background2"/>
          </w:tcPr>
          <w:p w14:paraId="1A017604" w14:textId="77777777" w:rsidR="00606C6B" w:rsidRPr="00835574" w:rsidRDefault="00606C6B" w:rsidP="00894A8B">
            <w:pPr>
              <w:pStyle w:val="Sinespaciado"/>
              <w:jc w:val="center"/>
              <w:rPr>
                <w:rFonts w:ascii="Calibri" w:hAnsi="Calibri" w:cs="Calibri"/>
                <w:b/>
                <w:bCs/>
              </w:rPr>
            </w:pPr>
            <w:r w:rsidRPr="00835574">
              <w:rPr>
                <w:rFonts w:ascii="Calibri" w:hAnsi="Calibri" w:cs="Calibri"/>
                <w:b/>
                <w:bCs/>
              </w:rPr>
              <w:t>ESTADO DE OAXACA</w:t>
            </w:r>
          </w:p>
          <w:p w14:paraId="3252BB8A" w14:textId="0A06DBCF" w:rsidR="00606C6B" w:rsidRPr="00835574" w:rsidRDefault="00606C6B" w:rsidP="00894A8B">
            <w:pPr>
              <w:pStyle w:val="Sinespaciado"/>
              <w:jc w:val="center"/>
              <w:rPr>
                <w:rFonts w:ascii="Calibri" w:hAnsi="Calibri" w:cs="Calibri"/>
                <w:b/>
                <w:bCs/>
              </w:rPr>
            </w:pPr>
            <w:r w:rsidRPr="00835574">
              <w:rPr>
                <w:rFonts w:ascii="Calibri" w:hAnsi="Calibri" w:cs="Calibri"/>
                <w:b/>
                <w:bCs/>
              </w:rPr>
              <w:t>Resultados de Egresos – LDF</w:t>
            </w:r>
          </w:p>
          <w:p w14:paraId="6B69FFA8" w14:textId="7F809604" w:rsidR="00606C6B" w:rsidRPr="00835574" w:rsidRDefault="00606C6B" w:rsidP="00894A8B">
            <w:pPr>
              <w:pStyle w:val="Sinespaciado"/>
              <w:jc w:val="center"/>
            </w:pPr>
            <w:r w:rsidRPr="00835574">
              <w:rPr>
                <w:rFonts w:ascii="Calibri" w:hAnsi="Calibri" w:cs="Calibri"/>
                <w:b/>
                <w:bCs/>
              </w:rPr>
              <w:t>(PESOS)</w:t>
            </w:r>
          </w:p>
        </w:tc>
      </w:tr>
      <w:tr w:rsidR="00835574" w:rsidRPr="00835574" w14:paraId="1C896D04" w14:textId="5C81B9AE" w:rsidTr="00243847">
        <w:trPr>
          <w:tblHeader/>
        </w:trPr>
        <w:tc>
          <w:tcPr>
            <w:tcW w:w="0" w:type="auto"/>
            <w:tcBorders>
              <w:bottom w:val="single" w:sz="4" w:space="0" w:color="auto"/>
            </w:tcBorders>
            <w:shd w:val="clear" w:color="auto" w:fill="E7E6E6" w:themeFill="background2"/>
          </w:tcPr>
          <w:p w14:paraId="1C526291" w14:textId="776F0428" w:rsidR="00606C6B" w:rsidRPr="00835574" w:rsidRDefault="00606C6B" w:rsidP="00894A8B">
            <w:pPr>
              <w:pStyle w:val="Sinespaciado"/>
              <w:jc w:val="center"/>
              <w:rPr>
                <w:b/>
                <w:bCs/>
                <w:sz w:val="18"/>
                <w:szCs w:val="18"/>
              </w:rPr>
            </w:pPr>
            <w:r w:rsidRPr="00835574">
              <w:rPr>
                <w:b/>
                <w:bCs/>
                <w:sz w:val="18"/>
                <w:szCs w:val="18"/>
              </w:rPr>
              <w:t>Concepto (b)</w:t>
            </w:r>
          </w:p>
        </w:tc>
        <w:tc>
          <w:tcPr>
            <w:tcW w:w="0" w:type="auto"/>
            <w:tcBorders>
              <w:bottom w:val="single" w:sz="4" w:space="0" w:color="auto"/>
            </w:tcBorders>
            <w:shd w:val="clear" w:color="auto" w:fill="E7E6E6" w:themeFill="background2"/>
          </w:tcPr>
          <w:p w14:paraId="1F9C1F75" w14:textId="7B9F7046" w:rsidR="00606C6B" w:rsidRPr="00835574" w:rsidRDefault="00810245" w:rsidP="00894A8B">
            <w:pPr>
              <w:pStyle w:val="Sinespaciado"/>
              <w:jc w:val="center"/>
              <w:rPr>
                <w:b/>
                <w:bCs/>
                <w:sz w:val="18"/>
                <w:szCs w:val="18"/>
              </w:rPr>
            </w:pPr>
            <w:r w:rsidRPr="00835574">
              <w:rPr>
                <w:b/>
                <w:bCs/>
                <w:sz w:val="18"/>
                <w:szCs w:val="18"/>
              </w:rPr>
              <w:t>2017</w:t>
            </w:r>
            <w:r w:rsidRPr="00835574">
              <w:rPr>
                <w:b/>
                <w:bCs/>
                <w:sz w:val="18"/>
                <w:szCs w:val="18"/>
                <w:vertAlign w:val="superscript"/>
              </w:rPr>
              <w:t>1</w:t>
            </w:r>
            <w:r w:rsidRPr="00835574">
              <w:rPr>
                <w:b/>
                <w:bCs/>
                <w:sz w:val="18"/>
                <w:szCs w:val="18"/>
              </w:rPr>
              <w:t xml:space="preserve"> (c)</w:t>
            </w:r>
          </w:p>
        </w:tc>
        <w:tc>
          <w:tcPr>
            <w:tcW w:w="0" w:type="auto"/>
            <w:tcBorders>
              <w:bottom w:val="single" w:sz="4" w:space="0" w:color="auto"/>
            </w:tcBorders>
            <w:shd w:val="clear" w:color="auto" w:fill="E7E6E6" w:themeFill="background2"/>
          </w:tcPr>
          <w:p w14:paraId="436F899F" w14:textId="36C0E6A6" w:rsidR="00606C6B" w:rsidRPr="00835574" w:rsidRDefault="00810245" w:rsidP="00894A8B">
            <w:pPr>
              <w:pStyle w:val="Sinespaciado"/>
              <w:jc w:val="center"/>
              <w:rPr>
                <w:b/>
                <w:bCs/>
                <w:sz w:val="18"/>
                <w:szCs w:val="18"/>
              </w:rPr>
            </w:pPr>
            <w:r w:rsidRPr="00835574">
              <w:rPr>
                <w:b/>
                <w:bCs/>
                <w:sz w:val="18"/>
                <w:szCs w:val="18"/>
              </w:rPr>
              <w:t>2018</w:t>
            </w:r>
            <w:r w:rsidRPr="00835574">
              <w:rPr>
                <w:b/>
                <w:bCs/>
                <w:sz w:val="18"/>
                <w:szCs w:val="18"/>
                <w:vertAlign w:val="superscript"/>
              </w:rPr>
              <w:t>1</w:t>
            </w:r>
            <w:r w:rsidRPr="00835574">
              <w:rPr>
                <w:b/>
                <w:bCs/>
                <w:sz w:val="18"/>
                <w:szCs w:val="18"/>
              </w:rPr>
              <w:t xml:space="preserve"> (c)</w:t>
            </w:r>
          </w:p>
        </w:tc>
        <w:tc>
          <w:tcPr>
            <w:tcW w:w="0" w:type="auto"/>
            <w:tcBorders>
              <w:bottom w:val="single" w:sz="4" w:space="0" w:color="auto"/>
            </w:tcBorders>
            <w:shd w:val="clear" w:color="auto" w:fill="E7E6E6" w:themeFill="background2"/>
          </w:tcPr>
          <w:p w14:paraId="28FF627E" w14:textId="2184C367" w:rsidR="00606C6B" w:rsidRPr="00835574" w:rsidRDefault="00810245" w:rsidP="00894A8B">
            <w:pPr>
              <w:pStyle w:val="Sinespaciado"/>
              <w:jc w:val="center"/>
              <w:rPr>
                <w:b/>
                <w:bCs/>
                <w:sz w:val="18"/>
                <w:szCs w:val="18"/>
              </w:rPr>
            </w:pPr>
            <w:r w:rsidRPr="00835574">
              <w:rPr>
                <w:b/>
                <w:bCs/>
                <w:sz w:val="18"/>
                <w:szCs w:val="18"/>
              </w:rPr>
              <w:t>2019</w:t>
            </w:r>
            <w:r w:rsidRPr="00835574">
              <w:rPr>
                <w:b/>
                <w:bCs/>
                <w:sz w:val="18"/>
                <w:szCs w:val="18"/>
                <w:vertAlign w:val="superscript"/>
              </w:rPr>
              <w:t>1</w:t>
            </w:r>
            <w:r w:rsidRPr="00835574">
              <w:rPr>
                <w:b/>
                <w:bCs/>
                <w:sz w:val="18"/>
                <w:szCs w:val="18"/>
              </w:rPr>
              <w:t xml:space="preserve"> (c)</w:t>
            </w:r>
          </w:p>
        </w:tc>
        <w:tc>
          <w:tcPr>
            <w:tcW w:w="0" w:type="auto"/>
            <w:tcBorders>
              <w:bottom w:val="single" w:sz="4" w:space="0" w:color="auto"/>
            </w:tcBorders>
            <w:shd w:val="clear" w:color="auto" w:fill="E7E6E6" w:themeFill="background2"/>
          </w:tcPr>
          <w:p w14:paraId="68724B6C" w14:textId="614BE302" w:rsidR="00606C6B" w:rsidRPr="00835574" w:rsidRDefault="00810245" w:rsidP="00894A8B">
            <w:pPr>
              <w:pStyle w:val="Sinespaciado"/>
              <w:jc w:val="center"/>
              <w:rPr>
                <w:b/>
                <w:bCs/>
                <w:sz w:val="18"/>
                <w:szCs w:val="18"/>
              </w:rPr>
            </w:pPr>
            <w:r w:rsidRPr="00835574">
              <w:rPr>
                <w:b/>
                <w:bCs/>
                <w:sz w:val="18"/>
                <w:szCs w:val="18"/>
              </w:rPr>
              <w:t>2020</w:t>
            </w:r>
            <w:r w:rsidRPr="00835574">
              <w:rPr>
                <w:b/>
                <w:bCs/>
                <w:sz w:val="18"/>
                <w:szCs w:val="18"/>
                <w:vertAlign w:val="superscript"/>
              </w:rPr>
              <w:t>1</w:t>
            </w:r>
            <w:r w:rsidRPr="00835574">
              <w:rPr>
                <w:b/>
                <w:bCs/>
                <w:sz w:val="18"/>
                <w:szCs w:val="18"/>
              </w:rPr>
              <w:t>(c)</w:t>
            </w:r>
          </w:p>
        </w:tc>
        <w:tc>
          <w:tcPr>
            <w:tcW w:w="0" w:type="auto"/>
            <w:tcBorders>
              <w:bottom w:val="single" w:sz="4" w:space="0" w:color="auto"/>
            </w:tcBorders>
            <w:shd w:val="clear" w:color="auto" w:fill="E7E6E6" w:themeFill="background2"/>
          </w:tcPr>
          <w:p w14:paraId="03C44B4D" w14:textId="1EC7B28B" w:rsidR="00606C6B" w:rsidRPr="00835574" w:rsidRDefault="00810245" w:rsidP="00894A8B">
            <w:pPr>
              <w:pStyle w:val="Sinespaciado"/>
              <w:jc w:val="center"/>
              <w:rPr>
                <w:b/>
                <w:bCs/>
                <w:sz w:val="18"/>
                <w:szCs w:val="18"/>
              </w:rPr>
            </w:pPr>
            <w:r w:rsidRPr="00835574">
              <w:rPr>
                <w:b/>
                <w:bCs/>
                <w:sz w:val="18"/>
                <w:szCs w:val="18"/>
              </w:rPr>
              <w:t>2021</w:t>
            </w:r>
            <w:r w:rsidRPr="00835574">
              <w:rPr>
                <w:b/>
                <w:bCs/>
                <w:sz w:val="18"/>
                <w:szCs w:val="18"/>
                <w:vertAlign w:val="superscript"/>
              </w:rPr>
              <w:t>1</w:t>
            </w:r>
            <w:r w:rsidRPr="00835574">
              <w:rPr>
                <w:b/>
                <w:bCs/>
                <w:sz w:val="18"/>
                <w:szCs w:val="18"/>
              </w:rPr>
              <w:t>(c)</w:t>
            </w:r>
          </w:p>
        </w:tc>
        <w:tc>
          <w:tcPr>
            <w:tcW w:w="0" w:type="auto"/>
            <w:tcBorders>
              <w:bottom w:val="single" w:sz="4" w:space="0" w:color="auto"/>
            </w:tcBorders>
            <w:shd w:val="clear" w:color="auto" w:fill="E7E6E6" w:themeFill="background2"/>
          </w:tcPr>
          <w:p w14:paraId="77BD268B" w14:textId="71A9902E" w:rsidR="00606C6B" w:rsidRPr="00835574" w:rsidRDefault="00810245" w:rsidP="00894A8B">
            <w:pPr>
              <w:pStyle w:val="Sinespaciado"/>
              <w:jc w:val="center"/>
              <w:rPr>
                <w:b/>
                <w:bCs/>
                <w:sz w:val="18"/>
                <w:szCs w:val="18"/>
              </w:rPr>
            </w:pPr>
            <w:r w:rsidRPr="00835574">
              <w:rPr>
                <w:b/>
                <w:bCs/>
                <w:sz w:val="18"/>
                <w:szCs w:val="18"/>
              </w:rPr>
              <w:t>2022</w:t>
            </w:r>
            <w:r w:rsidRPr="00835574">
              <w:rPr>
                <w:b/>
                <w:bCs/>
                <w:sz w:val="18"/>
                <w:szCs w:val="18"/>
                <w:vertAlign w:val="superscript"/>
              </w:rPr>
              <w:t>2</w:t>
            </w:r>
            <w:r w:rsidRPr="00835574">
              <w:rPr>
                <w:b/>
                <w:bCs/>
                <w:sz w:val="18"/>
                <w:szCs w:val="18"/>
              </w:rPr>
              <w:t>(d)</w:t>
            </w:r>
          </w:p>
        </w:tc>
      </w:tr>
      <w:tr w:rsidR="00835574" w:rsidRPr="00835574" w14:paraId="099B1DA7" w14:textId="77777777" w:rsidTr="00243847">
        <w:tc>
          <w:tcPr>
            <w:tcW w:w="0" w:type="auto"/>
            <w:tcBorders>
              <w:top w:val="single" w:sz="4" w:space="0" w:color="auto"/>
              <w:left w:val="single" w:sz="4" w:space="0" w:color="auto"/>
              <w:bottom w:val="nil"/>
              <w:right w:val="single" w:sz="4" w:space="0" w:color="auto"/>
            </w:tcBorders>
            <w:shd w:val="clear" w:color="auto" w:fill="FFFFFF" w:themeFill="background1"/>
            <w:vAlign w:val="center"/>
          </w:tcPr>
          <w:p w14:paraId="736E3184" w14:textId="77777777" w:rsidR="000A0C33" w:rsidRPr="00835574" w:rsidRDefault="000A0C33" w:rsidP="000A7540">
            <w:pPr>
              <w:pStyle w:val="Sinespaciado"/>
              <w:rPr>
                <w:sz w:val="12"/>
                <w:szCs w:val="12"/>
              </w:rPr>
            </w:pPr>
          </w:p>
        </w:tc>
        <w:tc>
          <w:tcPr>
            <w:tcW w:w="0" w:type="auto"/>
            <w:tcBorders>
              <w:top w:val="single" w:sz="4" w:space="0" w:color="auto"/>
              <w:left w:val="nil"/>
              <w:bottom w:val="nil"/>
              <w:right w:val="single" w:sz="4" w:space="0" w:color="auto"/>
            </w:tcBorders>
            <w:shd w:val="clear" w:color="auto" w:fill="FFFFFF" w:themeFill="background1"/>
            <w:vAlign w:val="center"/>
          </w:tcPr>
          <w:p w14:paraId="656E7935" w14:textId="2E9AF530" w:rsidR="000A0C33" w:rsidRPr="00835574" w:rsidRDefault="000A0C33" w:rsidP="000A7540">
            <w:pPr>
              <w:pStyle w:val="Sinespaciado"/>
              <w:jc w:val="right"/>
            </w:pPr>
          </w:p>
        </w:tc>
        <w:tc>
          <w:tcPr>
            <w:tcW w:w="0" w:type="auto"/>
            <w:tcBorders>
              <w:top w:val="single" w:sz="4" w:space="0" w:color="auto"/>
              <w:left w:val="single" w:sz="4" w:space="0" w:color="auto"/>
              <w:bottom w:val="nil"/>
              <w:right w:val="single" w:sz="4" w:space="0" w:color="auto"/>
            </w:tcBorders>
            <w:shd w:val="clear" w:color="auto" w:fill="FFFFFF" w:themeFill="background1"/>
            <w:vAlign w:val="center"/>
          </w:tcPr>
          <w:p w14:paraId="5A2CC197" w14:textId="7E877B87" w:rsidR="000A0C33" w:rsidRPr="00835574" w:rsidRDefault="000A0C33" w:rsidP="000A7540">
            <w:pPr>
              <w:pStyle w:val="Sinespaciado"/>
              <w:jc w:val="right"/>
            </w:pPr>
          </w:p>
        </w:tc>
        <w:tc>
          <w:tcPr>
            <w:tcW w:w="0" w:type="auto"/>
            <w:tcBorders>
              <w:top w:val="single" w:sz="4" w:space="0" w:color="auto"/>
              <w:left w:val="single" w:sz="4" w:space="0" w:color="auto"/>
              <w:bottom w:val="nil"/>
              <w:right w:val="single" w:sz="4" w:space="0" w:color="auto"/>
            </w:tcBorders>
            <w:shd w:val="clear" w:color="auto" w:fill="FFFFFF" w:themeFill="background1"/>
            <w:vAlign w:val="center"/>
          </w:tcPr>
          <w:p w14:paraId="020BA7CF" w14:textId="184A8971" w:rsidR="000A0C33" w:rsidRPr="00835574" w:rsidRDefault="000A0C33" w:rsidP="000A7540">
            <w:pPr>
              <w:pStyle w:val="Sinespaciado"/>
              <w:jc w:val="right"/>
            </w:pPr>
          </w:p>
        </w:tc>
        <w:tc>
          <w:tcPr>
            <w:tcW w:w="0" w:type="auto"/>
            <w:tcBorders>
              <w:top w:val="single" w:sz="4" w:space="0" w:color="auto"/>
              <w:left w:val="single" w:sz="4" w:space="0" w:color="auto"/>
              <w:bottom w:val="nil"/>
              <w:right w:val="single" w:sz="4" w:space="0" w:color="auto"/>
            </w:tcBorders>
            <w:shd w:val="clear" w:color="auto" w:fill="FFFFFF" w:themeFill="background1"/>
            <w:vAlign w:val="center"/>
          </w:tcPr>
          <w:p w14:paraId="14315D89" w14:textId="32B3016D" w:rsidR="000A0C33" w:rsidRPr="00835574" w:rsidRDefault="000A0C33" w:rsidP="000A7540">
            <w:pPr>
              <w:pStyle w:val="Sinespaciado"/>
              <w:jc w:val="right"/>
            </w:pPr>
          </w:p>
        </w:tc>
        <w:tc>
          <w:tcPr>
            <w:tcW w:w="0" w:type="auto"/>
            <w:tcBorders>
              <w:top w:val="single" w:sz="4" w:space="0" w:color="auto"/>
              <w:left w:val="single" w:sz="4" w:space="0" w:color="auto"/>
              <w:bottom w:val="nil"/>
              <w:right w:val="single" w:sz="4" w:space="0" w:color="auto"/>
            </w:tcBorders>
            <w:shd w:val="clear" w:color="auto" w:fill="FFFFFF" w:themeFill="background1"/>
            <w:vAlign w:val="center"/>
          </w:tcPr>
          <w:p w14:paraId="44DE0020" w14:textId="795450F7" w:rsidR="000A0C33" w:rsidRPr="00835574" w:rsidRDefault="000A0C33" w:rsidP="000A7540">
            <w:pPr>
              <w:pStyle w:val="Sinespaciado"/>
              <w:jc w:val="right"/>
            </w:pPr>
          </w:p>
        </w:tc>
        <w:tc>
          <w:tcPr>
            <w:tcW w:w="0" w:type="auto"/>
            <w:tcBorders>
              <w:top w:val="single" w:sz="4" w:space="0" w:color="auto"/>
              <w:left w:val="single" w:sz="4" w:space="0" w:color="auto"/>
              <w:bottom w:val="nil"/>
              <w:right w:val="single" w:sz="4" w:space="0" w:color="auto"/>
            </w:tcBorders>
            <w:shd w:val="clear" w:color="auto" w:fill="FFFFFF" w:themeFill="background1"/>
            <w:vAlign w:val="center"/>
          </w:tcPr>
          <w:p w14:paraId="13B7B4AD" w14:textId="5EA19EC2" w:rsidR="000A0C33" w:rsidRPr="00835574" w:rsidRDefault="000A0C33" w:rsidP="000A7540">
            <w:pPr>
              <w:pStyle w:val="Sinespaciado"/>
              <w:jc w:val="right"/>
            </w:pPr>
          </w:p>
        </w:tc>
      </w:tr>
      <w:tr w:rsidR="00835574" w:rsidRPr="00835574" w14:paraId="12F5B1C9" w14:textId="77777777" w:rsidTr="00243847">
        <w:trPr>
          <w:trHeight w:val="315"/>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8D48F85" w14:textId="77777777" w:rsidR="000A0C33" w:rsidRPr="00810245" w:rsidRDefault="000A0C33" w:rsidP="000A7540">
            <w:pPr>
              <w:rPr>
                <w:rFonts w:ascii="Arial" w:eastAsia="Times New Roman" w:hAnsi="Arial" w:cs="Arial"/>
                <w:b/>
                <w:bCs/>
                <w:sz w:val="12"/>
                <w:szCs w:val="12"/>
                <w:lang w:val="es-419" w:eastAsia="es-419"/>
              </w:rPr>
            </w:pPr>
            <w:r w:rsidRPr="00810245">
              <w:rPr>
                <w:rFonts w:ascii="Arial" w:eastAsia="Times New Roman" w:hAnsi="Arial" w:cs="Arial"/>
                <w:b/>
                <w:bCs/>
                <w:sz w:val="12"/>
                <w:szCs w:val="12"/>
                <w:lang w:val="es-419" w:eastAsia="es-419"/>
              </w:rPr>
              <w:t>1.</w:t>
            </w:r>
            <w:r w:rsidRPr="00810245">
              <w:rPr>
                <w:rFonts w:ascii="Times New Roman" w:eastAsia="Times New Roman" w:hAnsi="Times New Roman" w:cs="Times New Roman"/>
                <w:b/>
                <w:bCs/>
                <w:sz w:val="12"/>
                <w:szCs w:val="12"/>
                <w:lang w:val="es-419" w:eastAsia="es-419"/>
              </w:rPr>
              <w:t xml:space="preserve">  </w:t>
            </w:r>
            <w:r w:rsidRPr="00810245">
              <w:rPr>
                <w:rFonts w:ascii="Arial" w:eastAsia="Times New Roman" w:hAnsi="Arial" w:cs="Arial"/>
                <w:b/>
                <w:bCs/>
                <w:sz w:val="12"/>
                <w:szCs w:val="12"/>
                <w:lang w:val="es-419" w:eastAsia="es-419"/>
              </w:rPr>
              <w:t>Gasto No Etiquetado</w:t>
            </w:r>
            <w:r w:rsidRPr="00810245">
              <w:rPr>
                <w:rFonts w:ascii="Arial" w:eastAsia="Times New Roman" w:hAnsi="Arial" w:cs="Arial"/>
                <w:sz w:val="12"/>
                <w:szCs w:val="12"/>
                <w:lang w:val="es-419" w:eastAsia="es-419"/>
              </w:rPr>
              <w:t xml:space="preserve"> </w:t>
            </w:r>
            <w:r w:rsidRPr="00810245">
              <w:rPr>
                <w:rFonts w:ascii="Arial" w:eastAsia="Times New Roman" w:hAnsi="Arial" w:cs="Arial"/>
                <w:b/>
                <w:bCs/>
                <w:sz w:val="12"/>
                <w:szCs w:val="12"/>
                <w:lang w:val="es-419" w:eastAsia="es-419"/>
              </w:rPr>
              <w:t>(1=A+B+C+D+E+F+G+H+I)</w:t>
            </w:r>
          </w:p>
        </w:tc>
        <w:tc>
          <w:tcPr>
            <w:tcW w:w="0" w:type="auto"/>
            <w:tcBorders>
              <w:top w:val="nil"/>
              <w:left w:val="nil"/>
              <w:bottom w:val="nil"/>
              <w:right w:val="single" w:sz="4" w:space="0" w:color="auto"/>
            </w:tcBorders>
            <w:shd w:val="clear" w:color="auto" w:fill="FFFFFF" w:themeFill="background1"/>
            <w:noWrap/>
            <w:vAlign w:val="center"/>
            <w:hideMark/>
          </w:tcPr>
          <w:p w14:paraId="2D928DD3" w14:textId="3B89544B"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18,991.01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A57AD71" w14:textId="53F78DD4" w:rsidR="000A0C33" w:rsidRPr="00810245" w:rsidRDefault="000A0C33" w:rsidP="000A7540">
            <w:pPr>
              <w:jc w:val="right"/>
              <w:rPr>
                <w:rFonts w:ascii="Arial" w:hAnsi="Arial" w:cs="Arial"/>
                <w:b/>
                <w:bCs/>
                <w:sz w:val="12"/>
                <w:szCs w:val="12"/>
              </w:rPr>
            </w:pPr>
            <w:r w:rsidRPr="00835574">
              <w:rPr>
                <w:rFonts w:ascii="Arial" w:hAnsi="Arial" w:cs="Arial"/>
                <w:b/>
                <w:bCs/>
                <w:sz w:val="12"/>
                <w:szCs w:val="12"/>
              </w:rPr>
              <w:t>32,697.17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0A5C76E" w14:textId="7D0BA134"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27,533.22</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2E098B5" w14:textId="67A2565D"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34,299.05</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D4F381C" w14:textId="50476FAF"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21,805.14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3287AA4" w14:textId="5B9F9CE0"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29,993.09</w:t>
            </w:r>
          </w:p>
        </w:tc>
      </w:tr>
      <w:tr w:rsidR="00835574" w:rsidRPr="00835574" w14:paraId="19EEBC50"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6B21514"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A.</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Servicios Personales</w:t>
            </w:r>
          </w:p>
        </w:tc>
        <w:tc>
          <w:tcPr>
            <w:tcW w:w="0" w:type="auto"/>
            <w:tcBorders>
              <w:top w:val="nil"/>
              <w:left w:val="nil"/>
              <w:bottom w:val="nil"/>
              <w:right w:val="single" w:sz="4" w:space="0" w:color="auto"/>
            </w:tcBorders>
            <w:shd w:val="clear" w:color="auto" w:fill="FFFFFF" w:themeFill="background1"/>
            <w:noWrap/>
            <w:vAlign w:val="center"/>
            <w:hideMark/>
          </w:tcPr>
          <w:p w14:paraId="28DF8EC9" w14:textId="7B725C9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4,178.59</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3758BDD" w14:textId="2DA5991E"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4,054.53</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F8364C4" w14:textId="43C53A3A"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5,202.36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EBD97FC" w14:textId="3E870D29"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5,534.66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A7C5DDC" w14:textId="3F1E2D1E"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5,699.26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029AD6B" w14:textId="6DC3A21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5,885.26</w:t>
            </w:r>
          </w:p>
        </w:tc>
      </w:tr>
      <w:tr w:rsidR="00835574" w:rsidRPr="00835574" w14:paraId="09C4AA8C"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6BB05C0"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B.</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Materiales y Suministros</w:t>
            </w:r>
          </w:p>
        </w:tc>
        <w:tc>
          <w:tcPr>
            <w:tcW w:w="0" w:type="auto"/>
            <w:tcBorders>
              <w:top w:val="nil"/>
              <w:left w:val="nil"/>
              <w:bottom w:val="nil"/>
              <w:right w:val="single" w:sz="4" w:space="0" w:color="auto"/>
            </w:tcBorders>
            <w:shd w:val="clear" w:color="auto" w:fill="FFFFFF" w:themeFill="background1"/>
            <w:noWrap/>
            <w:vAlign w:val="center"/>
            <w:hideMark/>
          </w:tcPr>
          <w:p w14:paraId="7FD89BE5" w14:textId="0CACE3FD"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411.84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3E197DA" w14:textId="7361544C"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563.04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08B632E" w14:textId="3139FC19"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563.68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E68C583" w14:textId="6134B99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489.84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46DF85A" w14:textId="6EDF239E"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407.97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9DD4C4C" w14:textId="4E34507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430.02</w:t>
            </w:r>
          </w:p>
        </w:tc>
      </w:tr>
      <w:tr w:rsidR="00835574" w:rsidRPr="00835574" w14:paraId="1D24802E"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8CF7368"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C.</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Servicios Generales</w:t>
            </w:r>
          </w:p>
        </w:tc>
        <w:tc>
          <w:tcPr>
            <w:tcW w:w="0" w:type="auto"/>
            <w:tcBorders>
              <w:top w:val="nil"/>
              <w:left w:val="nil"/>
              <w:bottom w:val="nil"/>
              <w:right w:val="single" w:sz="4" w:space="0" w:color="auto"/>
            </w:tcBorders>
            <w:shd w:val="clear" w:color="auto" w:fill="FFFFFF" w:themeFill="background1"/>
            <w:noWrap/>
            <w:vAlign w:val="center"/>
            <w:hideMark/>
          </w:tcPr>
          <w:p w14:paraId="298B3F9D" w14:textId="2882D447"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2,969.39</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E1433EA" w14:textId="7E1C50AE"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6,227.57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8187598" w14:textId="5DD0894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6,443.14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D641D09" w14:textId="27E47785"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1,898.11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4BAD3C9" w14:textId="1A8ECB37"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1,666.97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E5BA70C" w14:textId="4A50EC19"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2,498.06</w:t>
            </w:r>
          </w:p>
        </w:tc>
      </w:tr>
      <w:tr w:rsidR="00835574" w:rsidRPr="00835574" w14:paraId="0FC60A96"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C563244"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D.</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Transferencias, Asignaciones, Subsidios y Otras Ayudas</w:t>
            </w:r>
          </w:p>
        </w:tc>
        <w:tc>
          <w:tcPr>
            <w:tcW w:w="0" w:type="auto"/>
            <w:tcBorders>
              <w:top w:val="nil"/>
              <w:left w:val="nil"/>
              <w:bottom w:val="nil"/>
              <w:right w:val="single" w:sz="4" w:space="0" w:color="auto"/>
            </w:tcBorders>
            <w:shd w:val="clear" w:color="auto" w:fill="FFFFFF" w:themeFill="background1"/>
            <w:noWrap/>
            <w:vAlign w:val="center"/>
            <w:hideMark/>
          </w:tcPr>
          <w:p w14:paraId="31D30E1B" w14:textId="13F1235F"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8,317.85</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8D0EC84" w14:textId="43781D5A"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11,005.14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20E3B19" w14:textId="279E4BE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10,469.63</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6FE224D" w14:textId="5F1F7AF8"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10,855.08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E768CE2" w14:textId="5F73570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11,810.31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5079AB0" w14:textId="648B6705"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17,732.67</w:t>
            </w:r>
          </w:p>
        </w:tc>
      </w:tr>
      <w:tr w:rsidR="00835574" w:rsidRPr="00835574" w14:paraId="370F4BE1"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B90DC42"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E.</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Bienes Muebles, Inmuebles e Intangibles</w:t>
            </w:r>
          </w:p>
        </w:tc>
        <w:tc>
          <w:tcPr>
            <w:tcW w:w="0" w:type="auto"/>
            <w:tcBorders>
              <w:top w:val="nil"/>
              <w:left w:val="nil"/>
              <w:bottom w:val="nil"/>
              <w:right w:val="single" w:sz="4" w:space="0" w:color="auto"/>
            </w:tcBorders>
            <w:shd w:val="clear" w:color="auto" w:fill="FFFFFF" w:themeFill="background1"/>
            <w:noWrap/>
            <w:vAlign w:val="center"/>
            <w:hideMark/>
          </w:tcPr>
          <w:p w14:paraId="3F5E998E" w14:textId="299BEF15"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93.77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B35C4AA" w14:textId="6B8D588E"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94.61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8C66CB3" w14:textId="0176F5FF"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335.34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F44D8AE" w14:textId="4E09BAED"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361.22</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F397A42" w14:textId="638B5B99"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156.66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B13F0F2" w14:textId="3AB20BB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153.79</w:t>
            </w:r>
          </w:p>
        </w:tc>
      </w:tr>
      <w:tr w:rsidR="00835574" w:rsidRPr="00835574" w14:paraId="7E4C11DB"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0DEDA04"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F.</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Inversión Pública</w:t>
            </w:r>
          </w:p>
        </w:tc>
        <w:tc>
          <w:tcPr>
            <w:tcW w:w="0" w:type="auto"/>
            <w:tcBorders>
              <w:top w:val="nil"/>
              <w:left w:val="nil"/>
              <w:bottom w:val="nil"/>
              <w:right w:val="single" w:sz="4" w:space="0" w:color="auto"/>
            </w:tcBorders>
            <w:shd w:val="clear" w:color="auto" w:fill="FFFFFF" w:themeFill="background1"/>
            <w:noWrap/>
            <w:vAlign w:val="center"/>
            <w:hideMark/>
          </w:tcPr>
          <w:p w14:paraId="605EBF24" w14:textId="10249BC0"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867.65</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DD7B34D" w14:textId="79AAE658"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1,671.76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706680A" w14:textId="1FE21BB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1,785.38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BD22405" w14:textId="7B923768"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1,656.51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7BCAC3C" w14:textId="33434EE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1,365.50</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C283A2A" w14:textId="40C17151"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2,854.42</w:t>
            </w:r>
          </w:p>
        </w:tc>
      </w:tr>
      <w:tr w:rsidR="00835574" w:rsidRPr="00835574" w14:paraId="07E238CA"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755EC07"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G.</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Inversiones Financieras y Otras Provisiones</w:t>
            </w:r>
          </w:p>
        </w:tc>
        <w:tc>
          <w:tcPr>
            <w:tcW w:w="0" w:type="auto"/>
            <w:tcBorders>
              <w:top w:val="nil"/>
              <w:left w:val="nil"/>
              <w:bottom w:val="nil"/>
              <w:right w:val="single" w:sz="4" w:space="0" w:color="auto"/>
            </w:tcBorders>
            <w:shd w:val="clear" w:color="auto" w:fill="FFFFFF" w:themeFill="background1"/>
            <w:noWrap/>
            <w:vAlign w:val="center"/>
            <w:hideMark/>
          </w:tcPr>
          <w:p w14:paraId="464CB0EB" w14:textId="1D41A45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72C0230" w14:textId="76562CD8"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E5CA49C" w14:textId="0EC0B80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323BEDB" w14:textId="0E97E31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D5D844B" w14:textId="342D88B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7A8F595" w14:textId="139C32C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r>
      <w:tr w:rsidR="00835574" w:rsidRPr="00835574" w14:paraId="0EAD25E9"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CA940D4" w14:textId="75CDC071"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H.</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Participaciones y Aportaciones</w:t>
            </w:r>
          </w:p>
        </w:tc>
        <w:tc>
          <w:tcPr>
            <w:tcW w:w="0" w:type="auto"/>
            <w:tcBorders>
              <w:top w:val="nil"/>
              <w:left w:val="nil"/>
              <w:bottom w:val="nil"/>
              <w:right w:val="single" w:sz="4" w:space="0" w:color="auto"/>
            </w:tcBorders>
            <w:shd w:val="clear" w:color="auto" w:fill="FFFFFF" w:themeFill="background1"/>
            <w:noWrap/>
            <w:vAlign w:val="center"/>
            <w:hideMark/>
          </w:tcPr>
          <w:p w14:paraId="5428B545" w14:textId="3CB4305E"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8BEF102" w14:textId="71D59BCF"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34.83</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030A482" w14:textId="37C4F5C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34.29</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523CD58" w14:textId="6117F74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23.78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98972B3" w14:textId="0F514EE9"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31.24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9020CAD" w14:textId="4DE787C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27.91</w:t>
            </w:r>
          </w:p>
        </w:tc>
      </w:tr>
      <w:tr w:rsidR="00835574" w:rsidRPr="00835574" w14:paraId="34FCAE6B" w14:textId="77777777" w:rsidTr="00243847">
        <w:trPr>
          <w:trHeight w:val="225"/>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394260D"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I.</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Deuda Pública</w:t>
            </w:r>
          </w:p>
        </w:tc>
        <w:tc>
          <w:tcPr>
            <w:tcW w:w="0" w:type="auto"/>
            <w:tcBorders>
              <w:top w:val="nil"/>
              <w:left w:val="nil"/>
              <w:bottom w:val="nil"/>
              <w:right w:val="single" w:sz="4" w:space="0" w:color="auto"/>
            </w:tcBorders>
            <w:shd w:val="clear" w:color="auto" w:fill="FFFFFF" w:themeFill="background1"/>
            <w:noWrap/>
            <w:vAlign w:val="center"/>
            <w:hideMark/>
          </w:tcPr>
          <w:p w14:paraId="0584825D" w14:textId="39119637"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2,151.92</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789E1C2" w14:textId="481167D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9,045.68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FA69D41" w14:textId="0C2B7D50"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2,699.38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5EB8EEC" w14:textId="0AE3C695"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13,479.86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8D6B213" w14:textId="1AE9019A"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667.22</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F7A618A" w14:textId="2F68B179"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410.96</w:t>
            </w:r>
          </w:p>
        </w:tc>
      </w:tr>
      <w:tr w:rsidR="00835574" w:rsidRPr="00835574" w14:paraId="0A242C49"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CBC1D0E" w14:textId="715CB8B1" w:rsidR="000A0C33" w:rsidRPr="00810245" w:rsidRDefault="000A0C33" w:rsidP="000A7540">
            <w:pPr>
              <w:rPr>
                <w:rFonts w:ascii="Arial" w:eastAsia="Times New Roman" w:hAnsi="Arial" w:cs="Arial"/>
                <w:sz w:val="12"/>
                <w:szCs w:val="12"/>
                <w:lang w:val="es-419" w:eastAsia="es-419"/>
              </w:rPr>
            </w:pPr>
          </w:p>
        </w:tc>
        <w:tc>
          <w:tcPr>
            <w:tcW w:w="0" w:type="auto"/>
            <w:tcBorders>
              <w:top w:val="nil"/>
              <w:left w:val="nil"/>
              <w:bottom w:val="nil"/>
              <w:right w:val="single" w:sz="4" w:space="0" w:color="auto"/>
            </w:tcBorders>
            <w:shd w:val="clear" w:color="auto" w:fill="FFFFFF" w:themeFill="background1"/>
            <w:noWrap/>
            <w:vAlign w:val="center"/>
            <w:hideMark/>
          </w:tcPr>
          <w:p w14:paraId="37B3884A" w14:textId="5E6D37B6"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D804F6D" w14:textId="1EFF2945"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E7412EA" w14:textId="3DDF01FA"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60680D7" w14:textId="2F5B995B"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28965D0" w14:textId="6817011D"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C13AEC3" w14:textId="55929332" w:rsidR="000A0C33" w:rsidRPr="00810245" w:rsidRDefault="000A0C33" w:rsidP="000A7540">
            <w:pPr>
              <w:jc w:val="right"/>
              <w:rPr>
                <w:rFonts w:ascii="Arial" w:eastAsia="Times New Roman" w:hAnsi="Arial" w:cs="Arial"/>
                <w:sz w:val="12"/>
                <w:szCs w:val="12"/>
                <w:lang w:val="es-419" w:eastAsia="es-419"/>
              </w:rPr>
            </w:pPr>
          </w:p>
        </w:tc>
      </w:tr>
      <w:tr w:rsidR="00835574" w:rsidRPr="00835574" w14:paraId="37C5EBD9"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8C39DE6" w14:textId="77777777" w:rsidR="000A0C33" w:rsidRPr="00810245" w:rsidRDefault="000A0C33" w:rsidP="000A7540">
            <w:pPr>
              <w:rPr>
                <w:rFonts w:ascii="Arial" w:eastAsia="Times New Roman" w:hAnsi="Arial" w:cs="Arial"/>
                <w:b/>
                <w:bCs/>
                <w:sz w:val="12"/>
                <w:szCs w:val="12"/>
                <w:lang w:val="es-419" w:eastAsia="es-419"/>
              </w:rPr>
            </w:pPr>
            <w:r w:rsidRPr="00810245">
              <w:rPr>
                <w:rFonts w:ascii="Arial" w:eastAsia="Times New Roman" w:hAnsi="Arial" w:cs="Arial"/>
                <w:b/>
                <w:bCs/>
                <w:sz w:val="12"/>
                <w:szCs w:val="12"/>
                <w:lang w:val="es-419" w:eastAsia="es-419"/>
              </w:rPr>
              <w:t>2.</w:t>
            </w:r>
            <w:r w:rsidRPr="00810245">
              <w:rPr>
                <w:rFonts w:ascii="Times New Roman" w:eastAsia="Times New Roman" w:hAnsi="Times New Roman" w:cs="Times New Roman"/>
                <w:b/>
                <w:bCs/>
                <w:sz w:val="12"/>
                <w:szCs w:val="12"/>
                <w:lang w:val="es-419" w:eastAsia="es-419"/>
              </w:rPr>
              <w:t xml:space="preserve">  </w:t>
            </w:r>
            <w:r w:rsidRPr="00810245">
              <w:rPr>
                <w:rFonts w:ascii="Arial" w:eastAsia="Times New Roman" w:hAnsi="Arial" w:cs="Arial"/>
                <w:b/>
                <w:bCs/>
                <w:sz w:val="12"/>
                <w:szCs w:val="12"/>
                <w:lang w:val="es-419" w:eastAsia="es-419"/>
              </w:rPr>
              <w:t>Gasto Etiquetado (2=A+B+C+D+E+F+G+H+I)</w:t>
            </w:r>
          </w:p>
        </w:tc>
        <w:tc>
          <w:tcPr>
            <w:tcW w:w="0" w:type="auto"/>
            <w:tcBorders>
              <w:top w:val="nil"/>
              <w:left w:val="nil"/>
              <w:bottom w:val="nil"/>
              <w:right w:val="single" w:sz="4" w:space="0" w:color="auto"/>
            </w:tcBorders>
            <w:shd w:val="clear" w:color="auto" w:fill="FFFFFF" w:themeFill="background1"/>
            <w:noWrap/>
            <w:vAlign w:val="center"/>
            <w:hideMark/>
          </w:tcPr>
          <w:p w14:paraId="738D4EED" w14:textId="0A6817AD"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55,959.77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F19DA27" w14:textId="62B5E3E4"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56,919.93</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DD2CDFA" w14:textId="1DA35080"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57,038.85</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B34D86B" w14:textId="3B11B77D"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57,103.23</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55F7097" w14:textId="2412F487"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59,495.01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96F2406" w14:textId="385F33BF"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63,164.71</w:t>
            </w:r>
          </w:p>
        </w:tc>
      </w:tr>
      <w:tr w:rsidR="00835574" w:rsidRPr="00835574" w14:paraId="43BF05AA"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EF5AC70"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A.</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Servicios Personales</w:t>
            </w:r>
          </w:p>
        </w:tc>
        <w:tc>
          <w:tcPr>
            <w:tcW w:w="0" w:type="auto"/>
            <w:tcBorders>
              <w:top w:val="nil"/>
              <w:left w:val="nil"/>
              <w:bottom w:val="nil"/>
              <w:right w:val="single" w:sz="4" w:space="0" w:color="auto"/>
            </w:tcBorders>
            <w:shd w:val="clear" w:color="auto" w:fill="FFFFFF" w:themeFill="background1"/>
            <w:noWrap/>
            <w:vAlign w:val="center"/>
            <w:hideMark/>
          </w:tcPr>
          <w:p w14:paraId="71E51EE6" w14:textId="36B3E31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996.15</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DDF5211" w14:textId="62373A0A"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822.30</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B5C4165" w14:textId="3D126C17"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29.62</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D45BD33" w14:textId="7C58396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1.26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7780A99" w14:textId="5C263238"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4.39</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33B447B" w14:textId="736B0A4E"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r>
      <w:tr w:rsidR="00835574" w:rsidRPr="00835574" w14:paraId="1A23D4F5"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24922A7"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B.</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Materiales y Suministros</w:t>
            </w:r>
          </w:p>
        </w:tc>
        <w:tc>
          <w:tcPr>
            <w:tcW w:w="0" w:type="auto"/>
            <w:tcBorders>
              <w:top w:val="nil"/>
              <w:left w:val="nil"/>
              <w:bottom w:val="nil"/>
              <w:right w:val="single" w:sz="4" w:space="0" w:color="auto"/>
            </w:tcBorders>
            <w:shd w:val="clear" w:color="auto" w:fill="FFFFFF" w:themeFill="background1"/>
            <w:noWrap/>
            <w:vAlign w:val="center"/>
            <w:hideMark/>
          </w:tcPr>
          <w:p w14:paraId="1AC3169E" w14:textId="366483F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141.78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9477CD8" w14:textId="72606330"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28.45</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68D5551" w14:textId="44802D95"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103.75</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70EDF05" w14:textId="2EBCD029"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82.07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08E6714" w14:textId="08F4A698"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96.51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215672C" w14:textId="3E6BC81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70.52</w:t>
            </w:r>
          </w:p>
        </w:tc>
      </w:tr>
      <w:tr w:rsidR="00835574" w:rsidRPr="00835574" w14:paraId="58591780"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BAD89E7"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C.</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Servicios Generales</w:t>
            </w:r>
          </w:p>
        </w:tc>
        <w:tc>
          <w:tcPr>
            <w:tcW w:w="0" w:type="auto"/>
            <w:tcBorders>
              <w:top w:val="nil"/>
              <w:left w:val="nil"/>
              <w:bottom w:val="nil"/>
              <w:right w:val="single" w:sz="4" w:space="0" w:color="auto"/>
            </w:tcBorders>
            <w:shd w:val="clear" w:color="auto" w:fill="FFFFFF" w:themeFill="background1"/>
            <w:noWrap/>
            <w:vAlign w:val="center"/>
            <w:hideMark/>
          </w:tcPr>
          <w:p w14:paraId="7B904705" w14:textId="10B68687"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320.41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9017E6E" w14:textId="3488A1E7"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367.58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95C2649" w14:textId="41F6A20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185.50</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F35C70A" w14:textId="2949AA9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196.25</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D21A2AD" w14:textId="4BF85FB9"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199.86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E6A8ABB" w14:textId="651C8C8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139.54</w:t>
            </w:r>
          </w:p>
        </w:tc>
      </w:tr>
      <w:tr w:rsidR="00835574" w:rsidRPr="00835574" w14:paraId="5216ECAD"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CE7752B"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D.</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Transferencias, Asignaciones, Subsidios y Otras Ayudas</w:t>
            </w:r>
          </w:p>
        </w:tc>
        <w:tc>
          <w:tcPr>
            <w:tcW w:w="0" w:type="auto"/>
            <w:tcBorders>
              <w:top w:val="nil"/>
              <w:left w:val="nil"/>
              <w:bottom w:val="nil"/>
              <w:right w:val="single" w:sz="4" w:space="0" w:color="auto"/>
            </w:tcBorders>
            <w:shd w:val="clear" w:color="auto" w:fill="FFFFFF" w:themeFill="background1"/>
            <w:noWrap/>
            <w:vAlign w:val="center"/>
            <w:hideMark/>
          </w:tcPr>
          <w:p w14:paraId="0686F380" w14:textId="3381A22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37,380.46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238392A" w14:textId="4F718AE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36,844.64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1F5B48F" w14:textId="1959BF2A"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35,735.84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A1CA38D" w14:textId="70D51195"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36,050.06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7BB1B4A" w14:textId="4705453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38,876.34</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01288CD" w14:textId="4ED98C01"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40,241.13</w:t>
            </w:r>
          </w:p>
        </w:tc>
      </w:tr>
      <w:tr w:rsidR="00835574" w:rsidRPr="00835574" w14:paraId="55765188"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4827845"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E.</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Bienes Muebles, Inmuebles e Intangibles</w:t>
            </w:r>
          </w:p>
        </w:tc>
        <w:tc>
          <w:tcPr>
            <w:tcW w:w="0" w:type="auto"/>
            <w:tcBorders>
              <w:top w:val="nil"/>
              <w:left w:val="nil"/>
              <w:bottom w:val="nil"/>
              <w:right w:val="single" w:sz="4" w:space="0" w:color="auto"/>
            </w:tcBorders>
            <w:shd w:val="clear" w:color="auto" w:fill="FFFFFF" w:themeFill="background1"/>
            <w:noWrap/>
            <w:vAlign w:val="center"/>
            <w:hideMark/>
          </w:tcPr>
          <w:p w14:paraId="2C4CDD96" w14:textId="54ED3497"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603.81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BDD9A43" w14:textId="54A905C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320.26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F73BCDB" w14:textId="2FBBB2D9"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527.97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620E019" w14:textId="0F5357B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224.96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641DDF3" w14:textId="4C63C20E"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506.30</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7EC75F7" w14:textId="080BBB45"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364.59</w:t>
            </w:r>
          </w:p>
        </w:tc>
      </w:tr>
      <w:tr w:rsidR="00835574" w:rsidRPr="00835574" w14:paraId="0CE53D6E"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722AF37"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F.</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Inversión Pública</w:t>
            </w:r>
          </w:p>
        </w:tc>
        <w:tc>
          <w:tcPr>
            <w:tcW w:w="0" w:type="auto"/>
            <w:tcBorders>
              <w:top w:val="nil"/>
              <w:left w:val="nil"/>
              <w:bottom w:val="nil"/>
              <w:right w:val="single" w:sz="4" w:space="0" w:color="auto"/>
            </w:tcBorders>
            <w:shd w:val="clear" w:color="auto" w:fill="FFFFFF" w:themeFill="background1"/>
            <w:noWrap/>
            <w:vAlign w:val="center"/>
            <w:hideMark/>
          </w:tcPr>
          <w:p w14:paraId="48A89E88" w14:textId="5EF6078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2,332.67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7D6A12D" w14:textId="318E522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3,127.06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FF1DFB0" w14:textId="47B5C878"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1,927.35</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D1F4074" w14:textId="410C371F"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1,841.56</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2F849A2" w14:textId="27AC1DD0"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2,272.28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A2D74C4" w14:textId="58A6CDAA"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3,364.71</w:t>
            </w:r>
          </w:p>
        </w:tc>
      </w:tr>
      <w:tr w:rsidR="00835574" w:rsidRPr="00835574" w14:paraId="48F2F3CD"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1724E3C"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G.</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Inversiones Financieras y Otras Provisiones</w:t>
            </w:r>
          </w:p>
        </w:tc>
        <w:tc>
          <w:tcPr>
            <w:tcW w:w="0" w:type="auto"/>
            <w:tcBorders>
              <w:top w:val="nil"/>
              <w:left w:val="nil"/>
              <w:bottom w:val="nil"/>
              <w:right w:val="single" w:sz="4" w:space="0" w:color="auto"/>
            </w:tcBorders>
            <w:shd w:val="clear" w:color="auto" w:fill="FFFFFF" w:themeFill="background1"/>
            <w:noWrap/>
            <w:vAlign w:val="center"/>
            <w:hideMark/>
          </w:tcPr>
          <w:p w14:paraId="293047F7" w14:textId="5D89460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C459E74" w14:textId="1BE323D8"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5DCAC2B" w14:textId="6196974E"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DC5DA45" w14:textId="0E50B417"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A534B13" w14:textId="7533B1C1"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8741914" w14:textId="6D79CE62"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w:t>
            </w:r>
          </w:p>
        </w:tc>
      </w:tr>
      <w:tr w:rsidR="00835574" w:rsidRPr="00835574" w14:paraId="0FB363FD" w14:textId="77777777" w:rsidTr="00243847">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B7FC9A7"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H.</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Participaciones y Aportaciones</w:t>
            </w:r>
          </w:p>
        </w:tc>
        <w:tc>
          <w:tcPr>
            <w:tcW w:w="0" w:type="auto"/>
            <w:tcBorders>
              <w:top w:val="nil"/>
              <w:left w:val="nil"/>
              <w:bottom w:val="nil"/>
              <w:right w:val="single" w:sz="4" w:space="0" w:color="auto"/>
            </w:tcBorders>
            <w:shd w:val="clear" w:color="auto" w:fill="FFFFFF" w:themeFill="background1"/>
            <w:noWrap/>
            <w:vAlign w:val="center"/>
            <w:hideMark/>
          </w:tcPr>
          <w:p w14:paraId="6067DEC3" w14:textId="1F9A537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13,078.72</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BD9C98B" w14:textId="16F8DE37"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14,170.70</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D157FC9" w14:textId="742B3C6A"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16,042.92</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CD414E3" w14:textId="23760D9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16,090.37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6F32449E" w14:textId="042CDF7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15,705.52</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67F60D9" w14:textId="37B1CFAC"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17,320.07</w:t>
            </w:r>
          </w:p>
        </w:tc>
      </w:tr>
      <w:tr w:rsidR="00835574" w:rsidRPr="00835574" w14:paraId="583902D6" w14:textId="77777777" w:rsidTr="00243847">
        <w:trPr>
          <w:trHeight w:val="225"/>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700F9DD3" w14:textId="77777777" w:rsidR="000A0C33" w:rsidRPr="00810245" w:rsidRDefault="000A0C33" w:rsidP="000A7540">
            <w:pPr>
              <w:rPr>
                <w:rFonts w:ascii="Arial" w:eastAsia="Times New Roman" w:hAnsi="Arial" w:cs="Arial"/>
                <w:sz w:val="12"/>
                <w:szCs w:val="12"/>
                <w:lang w:val="es-419" w:eastAsia="es-419"/>
              </w:rPr>
            </w:pPr>
            <w:r w:rsidRPr="00810245">
              <w:rPr>
                <w:rFonts w:ascii="Arial" w:eastAsia="Times New Roman" w:hAnsi="Arial" w:cs="Arial"/>
                <w:sz w:val="12"/>
                <w:szCs w:val="12"/>
                <w:lang w:val="es-419" w:eastAsia="es-419"/>
              </w:rPr>
              <w:t>I.</w:t>
            </w:r>
            <w:r w:rsidRPr="00810245">
              <w:rPr>
                <w:rFonts w:ascii="Times New Roman" w:eastAsia="Times New Roman" w:hAnsi="Times New Roman" w:cs="Times New Roman"/>
                <w:sz w:val="12"/>
                <w:szCs w:val="12"/>
                <w:lang w:val="es-419" w:eastAsia="es-419"/>
              </w:rPr>
              <w:t xml:space="preserve">      </w:t>
            </w:r>
            <w:r w:rsidRPr="00810245">
              <w:rPr>
                <w:rFonts w:ascii="Arial" w:eastAsia="Times New Roman" w:hAnsi="Arial" w:cs="Arial"/>
                <w:sz w:val="12"/>
                <w:szCs w:val="12"/>
                <w:lang w:val="es-419" w:eastAsia="es-419"/>
              </w:rPr>
              <w:t>Deuda Pública</w:t>
            </w:r>
          </w:p>
        </w:tc>
        <w:tc>
          <w:tcPr>
            <w:tcW w:w="0" w:type="auto"/>
            <w:tcBorders>
              <w:top w:val="nil"/>
              <w:left w:val="nil"/>
              <w:bottom w:val="nil"/>
              <w:right w:val="single" w:sz="4" w:space="0" w:color="auto"/>
            </w:tcBorders>
            <w:shd w:val="clear" w:color="auto" w:fill="FFFFFF" w:themeFill="background1"/>
            <w:noWrap/>
            <w:vAlign w:val="center"/>
            <w:hideMark/>
          </w:tcPr>
          <w:p w14:paraId="22269B58" w14:textId="25F0E195"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1,105.77</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E2243D4" w14:textId="2EBCBF94"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1,238.93</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390F315" w14:textId="33312F9B"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2,485.91</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ACA4904" w14:textId="63FDF3E8"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2,616.68</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D5FF6DF" w14:textId="5B7C924A"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1,833.80</w:t>
            </w: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558E8960" w14:textId="3CAE6A63" w:rsidR="000A0C33" w:rsidRPr="00810245" w:rsidRDefault="000A0C33" w:rsidP="000A7540">
            <w:pPr>
              <w:jc w:val="right"/>
              <w:rPr>
                <w:rFonts w:ascii="Arial" w:eastAsia="Times New Roman" w:hAnsi="Arial" w:cs="Arial"/>
                <w:sz w:val="12"/>
                <w:szCs w:val="12"/>
                <w:lang w:val="es-419" w:eastAsia="es-419"/>
              </w:rPr>
            </w:pPr>
            <w:r w:rsidRPr="00835574">
              <w:rPr>
                <w:rFonts w:ascii="Arial" w:hAnsi="Arial" w:cs="Arial"/>
                <w:sz w:val="12"/>
                <w:szCs w:val="12"/>
              </w:rPr>
              <w:t>1,664.16</w:t>
            </w:r>
          </w:p>
        </w:tc>
      </w:tr>
      <w:tr w:rsidR="00835574" w:rsidRPr="00835574" w14:paraId="2B03A682" w14:textId="77777777" w:rsidTr="000415BA">
        <w:trPr>
          <w:trHeight w:val="300"/>
        </w:trPr>
        <w:tc>
          <w:tcPr>
            <w:tcW w:w="0" w:type="auto"/>
            <w:tcBorders>
              <w:top w:val="nil"/>
              <w:left w:val="single" w:sz="4" w:space="0" w:color="auto"/>
              <w:bottom w:val="nil"/>
              <w:right w:val="single" w:sz="4" w:space="0" w:color="auto"/>
            </w:tcBorders>
            <w:shd w:val="clear" w:color="auto" w:fill="FFFFFF" w:themeFill="background1"/>
            <w:noWrap/>
            <w:vAlign w:val="center"/>
            <w:hideMark/>
          </w:tcPr>
          <w:p w14:paraId="1E2EB937" w14:textId="0D265212" w:rsidR="000A0C33" w:rsidRPr="00810245" w:rsidRDefault="000A0C33" w:rsidP="000A7540">
            <w:pPr>
              <w:rPr>
                <w:rFonts w:ascii="Arial" w:eastAsia="Times New Roman" w:hAnsi="Arial" w:cs="Arial"/>
                <w:sz w:val="12"/>
                <w:szCs w:val="12"/>
                <w:lang w:val="es-419" w:eastAsia="es-419"/>
              </w:rPr>
            </w:pPr>
          </w:p>
        </w:tc>
        <w:tc>
          <w:tcPr>
            <w:tcW w:w="0" w:type="auto"/>
            <w:tcBorders>
              <w:top w:val="nil"/>
              <w:left w:val="nil"/>
              <w:bottom w:val="nil"/>
              <w:right w:val="single" w:sz="4" w:space="0" w:color="auto"/>
            </w:tcBorders>
            <w:shd w:val="clear" w:color="auto" w:fill="FFFFFF" w:themeFill="background1"/>
            <w:noWrap/>
            <w:vAlign w:val="center"/>
            <w:hideMark/>
          </w:tcPr>
          <w:p w14:paraId="018434EC" w14:textId="0A34237F"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7EEEF37" w14:textId="0D427636"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345BF4A3" w14:textId="49BDBC80"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46C4E67C" w14:textId="0EF54DE6"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0ACAF1A6" w14:textId="73BA2A66" w:rsidR="000A0C33" w:rsidRPr="00810245" w:rsidRDefault="000A0C33" w:rsidP="000A7540">
            <w:pPr>
              <w:jc w:val="right"/>
              <w:rPr>
                <w:rFonts w:ascii="Arial" w:eastAsia="Times New Roman" w:hAnsi="Arial" w:cs="Arial"/>
                <w:sz w:val="12"/>
                <w:szCs w:val="12"/>
                <w:lang w:val="es-419" w:eastAsia="es-419"/>
              </w:rPr>
            </w:pPr>
          </w:p>
        </w:tc>
        <w:tc>
          <w:tcPr>
            <w:tcW w:w="0" w:type="auto"/>
            <w:tcBorders>
              <w:top w:val="nil"/>
              <w:left w:val="single" w:sz="4" w:space="0" w:color="auto"/>
              <w:bottom w:val="nil"/>
              <w:right w:val="single" w:sz="4" w:space="0" w:color="auto"/>
            </w:tcBorders>
            <w:shd w:val="clear" w:color="auto" w:fill="FFFFFF" w:themeFill="background1"/>
            <w:noWrap/>
            <w:vAlign w:val="center"/>
            <w:hideMark/>
          </w:tcPr>
          <w:p w14:paraId="26A5358A" w14:textId="47F96D96" w:rsidR="000A0C33" w:rsidRPr="00810245" w:rsidRDefault="000A0C33" w:rsidP="000A7540">
            <w:pPr>
              <w:jc w:val="right"/>
              <w:rPr>
                <w:rFonts w:ascii="Arial" w:eastAsia="Times New Roman" w:hAnsi="Arial" w:cs="Arial"/>
                <w:sz w:val="12"/>
                <w:szCs w:val="12"/>
                <w:lang w:val="es-419" w:eastAsia="es-419"/>
              </w:rPr>
            </w:pPr>
          </w:p>
        </w:tc>
      </w:tr>
      <w:tr w:rsidR="00835574" w:rsidRPr="00835574" w14:paraId="6BA25605" w14:textId="77777777" w:rsidTr="000415BA">
        <w:trPr>
          <w:trHeight w:val="300"/>
        </w:trPr>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4617859E" w14:textId="77777777" w:rsidR="000A0C33" w:rsidRPr="00810245" w:rsidRDefault="000A0C33" w:rsidP="000A7540">
            <w:pPr>
              <w:rPr>
                <w:rFonts w:ascii="Arial" w:eastAsia="Times New Roman" w:hAnsi="Arial" w:cs="Arial"/>
                <w:b/>
                <w:bCs/>
                <w:sz w:val="12"/>
                <w:szCs w:val="12"/>
                <w:lang w:val="es-419" w:eastAsia="es-419"/>
              </w:rPr>
            </w:pPr>
            <w:r w:rsidRPr="00810245">
              <w:rPr>
                <w:rFonts w:ascii="Arial" w:eastAsia="Times New Roman" w:hAnsi="Arial" w:cs="Arial"/>
                <w:b/>
                <w:bCs/>
                <w:sz w:val="12"/>
                <w:szCs w:val="12"/>
                <w:lang w:val="es-419" w:eastAsia="es-419"/>
              </w:rPr>
              <w:t>3.</w:t>
            </w:r>
            <w:r w:rsidRPr="00810245">
              <w:rPr>
                <w:rFonts w:ascii="Times New Roman" w:eastAsia="Times New Roman" w:hAnsi="Times New Roman" w:cs="Times New Roman"/>
                <w:b/>
                <w:bCs/>
                <w:sz w:val="12"/>
                <w:szCs w:val="12"/>
                <w:lang w:val="es-419" w:eastAsia="es-419"/>
              </w:rPr>
              <w:t xml:space="preserve">  </w:t>
            </w:r>
            <w:r w:rsidRPr="00810245">
              <w:rPr>
                <w:rFonts w:ascii="Arial" w:eastAsia="Times New Roman" w:hAnsi="Arial" w:cs="Arial"/>
                <w:b/>
                <w:bCs/>
                <w:sz w:val="12"/>
                <w:szCs w:val="12"/>
                <w:lang w:val="es-419" w:eastAsia="es-419"/>
              </w:rPr>
              <w:t>Total del Resultado de Egresos (3=1+2)</w:t>
            </w:r>
          </w:p>
        </w:tc>
        <w:tc>
          <w:tcPr>
            <w:tcW w:w="0" w:type="auto"/>
            <w:tcBorders>
              <w:top w:val="nil"/>
              <w:left w:val="nil"/>
              <w:bottom w:val="single" w:sz="4" w:space="0" w:color="auto"/>
              <w:right w:val="single" w:sz="4" w:space="0" w:color="auto"/>
            </w:tcBorders>
            <w:shd w:val="clear" w:color="auto" w:fill="FFFFFF" w:themeFill="background1"/>
            <w:noWrap/>
            <w:vAlign w:val="center"/>
            <w:hideMark/>
          </w:tcPr>
          <w:p w14:paraId="0F6DE7AD" w14:textId="2FE7B0DD"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74,950.78</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065D9332" w14:textId="45D5B7A9"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89,617.10</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4EE4933F" w14:textId="49EE476F"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84,572.06</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31F1A690" w14:textId="42C93DEA"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91,402.28</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1E8FB184" w14:textId="1ECB2CF4"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81,300.15</w:t>
            </w:r>
          </w:p>
        </w:tc>
        <w:tc>
          <w:tcPr>
            <w:tcW w:w="0" w:type="auto"/>
            <w:tcBorders>
              <w:top w:val="nil"/>
              <w:left w:val="single" w:sz="4" w:space="0" w:color="auto"/>
              <w:bottom w:val="single" w:sz="4" w:space="0" w:color="auto"/>
              <w:right w:val="single" w:sz="4" w:space="0" w:color="auto"/>
            </w:tcBorders>
            <w:shd w:val="clear" w:color="auto" w:fill="FFFFFF" w:themeFill="background1"/>
            <w:noWrap/>
            <w:vAlign w:val="center"/>
            <w:hideMark/>
          </w:tcPr>
          <w:p w14:paraId="0999C835" w14:textId="4E6F40CB" w:rsidR="000A0C33" w:rsidRPr="00810245" w:rsidRDefault="000A0C33" w:rsidP="000A7540">
            <w:pPr>
              <w:jc w:val="right"/>
              <w:rPr>
                <w:rFonts w:ascii="Arial" w:eastAsia="Times New Roman" w:hAnsi="Arial" w:cs="Arial"/>
                <w:b/>
                <w:bCs/>
                <w:sz w:val="12"/>
                <w:szCs w:val="12"/>
                <w:lang w:val="es-419" w:eastAsia="es-419"/>
              </w:rPr>
            </w:pPr>
            <w:r w:rsidRPr="00835574">
              <w:rPr>
                <w:rFonts w:ascii="Arial" w:hAnsi="Arial" w:cs="Arial"/>
                <w:b/>
                <w:bCs/>
                <w:sz w:val="12"/>
                <w:szCs w:val="12"/>
              </w:rPr>
              <w:t>93,157.80</w:t>
            </w:r>
          </w:p>
        </w:tc>
      </w:tr>
    </w:tbl>
    <w:p w14:paraId="63ECF664" w14:textId="77777777" w:rsidR="000A0C33" w:rsidRPr="00994CDD" w:rsidRDefault="000A0C33" w:rsidP="000A0C33">
      <w:pPr>
        <w:pStyle w:val="Sinespaciado"/>
        <w:rPr>
          <w:rFonts w:ascii="Calibri" w:eastAsia="Calibri" w:hAnsi="Calibri" w:cs="Calibri"/>
          <w:sz w:val="18"/>
          <w:szCs w:val="18"/>
          <w:lang w:eastAsia="es-MX" w:bidi="es-MX"/>
        </w:rPr>
      </w:pPr>
      <w:r w:rsidRPr="00994CDD">
        <w:rPr>
          <w:rFonts w:ascii="Calibri" w:eastAsia="Calibri" w:hAnsi="Calibri" w:cs="Calibri"/>
          <w:sz w:val="18"/>
          <w:szCs w:val="18"/>
          <w:lang w:eastAsia="es-MX" w:bidi="es-MX"/>
        </w:rPr>
        <w:lastRenderedPageBreak/>
        <w:t>1. Los importes corresponden a los egresos totales devengados.</w:t>
      </w:r>
    </w:p>
    <w:p w14:paraId="3C2D58C5" w14:textId="553AB9CB" w:rsidR="00373877" w:rsidRPr="00994CDD" w:rsidRDefault="000A0C33" w:rsidP="00E850D0">
      <w:pPr>
        <w:pStyle w:val="Sinespaciado"/>
        <w:rPr>
          <w:rFonts w:ascii="Calibri" w:eastAsia="Calibri" w:hAnsi="Calibri" w:cs="Calibri"/>
          <w:sz w:val="18"/>
          <w:szCs w:val="18"/>
          <w:lang w:eastAsia="es-MX" w:bidi="es-MX"/>
        </w:rPr>
      </w:pPr>
      <w:r w:rsidRPr="00994CDD">
        <w:rPr>
          <w:rFonts w:ascii="Calibri" w:eastAsia="Calibri" w:hAnsi="Calibri" w:cs="Calibri"/>
          <w:sz w:val="18"/>
          <w:szCs w:val="18"/>
          <w:lang w:eastAsia="es-MX" w:bidi="es-MX"/>
        </w:rPr>
        <w:t>2. Los importes corresponden a los egresos devengados al tercer trimestr</w:t>
      </w:r>
      <w:r w:rsidR="0054060B" w:rsidRPr="00994CDD">
        <w:rPr>
          <w:rFonts w:ascii="Calibri" w:eastAsia="Calibri" w:hAnsi="Calibri" w:cs="Calibri"/>
          <w:sz w:val="18"/>
          <w:szCs w:val="18"/>
          <w:lang w:eastAsia="es-MX" w:bidi="es-MX"/>
        </w:rPr>
        <w:t>e,</w:t>
      </w:r>
      <w:r w:rsidRPr="00994CDD">
        <w:rPr>
          <w:rFonts w:ascii="Calibri" w:eastAsia="Calibri" w:hAnsi="Calibri" w:cs="Calibri"/>
          <w:sz w:val="18"/>
          <w:szCs w:val="18"/>
          <w:lang w:eastAsia="es-MX" w:bidi="es-MX"/>
        </w:rPr>
        <w:t xml:space="preserve"> más el presupuesto por devengar en el mismo período.</w:t>
      </w:r>
    </w:p>
    <w:p w14:paraId="78255B80" w14:textId="255D17E1" w:rsidR="00E850D0" w:rsidRPr="00835574" w:rsidRDefault="00E850D0" w:rsidP="00E850D0">
      <w:pPr>
        <w:pStyle w:val="Sinespaciado"/>
      </w:pPr>
    </w:p>
    <w:p w14:paraId="751F6AD4" w14:textId="2ED69B00" w:rsidR="005A2965" w:rsidRPr="00835574" w:rsidRDefault="005A2965" w:rsidP="00AC1E3E">
      <w:pPr>
        <w:pStyle w:val="Sinespaciado"/>
        <w:jc w:val="center"/>
      </w:pPr>
      <w:r w:rsidRPr="00835574">
        <w:t>Formato 7 b) Proyecciones de Egresos – LDF</w:t>
      </w:r>
    </w:p>
    <w:p w14:paraId="7A0510B5" w14:textId="2F5EFB6C" w:rsidR="00E850D0" w:rsidRPr="00835574" w:rsidRDefault="00E850D0" w:rsidP="00AC1E3E">
      <w:pPr>
        <w:pStyle w:val="Sinespaciado"/>
        <w:jc w:val="center"/>
      </w:pPr>
    </w:p>
    <w:tbl>
      <w:tblPr>
        <w:tblStyle w:val="Tablaconcuadrcula"/>
        <w:tblW w:w="5000" w:type="pct"/>
        <w:tblLook w:val="04A0" w:firstRow="1" w:lastRow="0" w:firstColumn="1" w:lastColumn="0" w:noHBand="0" w:noVBand="1"/>
      </w:tblPr>
      <w:tblGrid>
        <w:gridCol w:w="3644"/>
        <w:gridCol w:w="846"/>
        <w:gridCol w:w="867"/>
        <w:gridCol w:w="867"/>
        <w:gridCol w:w="867"/>
        <w:gridCol w:w="867"/>
        <w:gridCol w:w="870"/>
      </w:tblGrid>
      <w:tr w:rsidR="00835574" w:rsidRPr="00835574" w14:paraId="47C45F7D" w14:textId="77777777" w:rsidTr="0002559D">
        <w:tc>
          <w:tcPr>
            <w:tcW w:w="5000" w:type="pct"/>
            <w:gridSpan w:val="7"/>
            <w:tcBorders>
              <w:bottom w:val="single" w:sz="4" w:space="0" w:color="auto"/>
            </w:tcBorders>
            <w:shd w:val="clear" w:color="auto" w:fill="E7E6E6" w:themeFill="background2"/>
          </w:tcPr>
          <w:p w14:paraId="32AD3B59" w14:textId="77777777" w:rsidR="000A7540" w:rsidRPr="00835574" w:rsidRDefault="000A7540" w:rsidP="00AF7ABF">
            <w:pPr>
              <w:pStyle w:val="Sinespaciado"/>
              <w:jc w:val="center"/>
              <w:rPr>
                <w:rFonts w:ascii="Calibri" w:hAnsi="Calibri" w:cs="Calibri"/>
                <w:b/>
                <w:bCs/>
              </w:rPr>
            </w:pPr>
            <w:r w:rsidRPr="00835574">
              <w:rPr>
                <w:rFonts w:ascii="Calibri" w:hAnsi="Calibri" w:cs="Calibri"/>
                <w:b/>
                <w:bCs/>
              </w:rPr>
              <w:t>ESTADO DE OAXACA</w:t>
            </w:r>
          </w:p>
          <w:p w14:paraId="64B9A98A" w14:textId="77777777" w:rsidR="0002559D" w:rsidRPr="00835574" w:rsidRDefault="0002559D" w:rsidP="00AF7ABF">
            <w:pPr>
              <w:pStyle w:val="Sinespaciado"/>
              <w:jc w:val="center"/>
              <w:rPr>
                <w:rFonts w:ascii="Calibri" w:hAnsi="Calibri" w:cs="Calibri"/>
                <w:b/>
                <w:bCs/>
              </w:rPr>
            </w:pPr>
            <w:r w:rsidRPr="00835574">
              <w:rPr>
                <w:rFonts w:ascii="Calibri" w:hAnsi="Calibri" w:cs="Calibri"/>
                <w:b/>
                <w:bCs/>
              </w:rPr>
              <w:t xml:space="preserve">Proyecciones de Egresos - LDF </w:t>
            </w:r>
          </w:p>
          <w:p w14:paraId="0B689FBA" w14:textId="5B86FD8B" w:rsidR="000A7540" w:rsidRPr="00835574" w:rsidRDefault="000A7540" w:rsidP="00AF7ABF">
            <w:pPr>
              <w:pStyle w:val="Sinespaciado"/>
              <w:jc w:val="center"/>
            </w:pPr>
            <w:r w:rsidRPr="00835574">
              <w:rPr>
                <w:rFonts w:ascii="Calibri" w:hAnsi="Calibri" w:cs="Calibri"/>
                <w:b/>
                <w:bCs/>
              </w:rPr>
              <w:t>(PESOS)</w:t>
            </w:r>
          </w:p>
        </w:tc>
      </w:tr>
      <w:tr w:rsidR="00835574" w:rsidRPr="00835574" w14:paraId="15041C80" w14:textId="77777777" w:rsidTr="00E42435">
        <w:tc>
          <w:tcPr>
            <w:tcW w:w="2064" w:type="pct"/>
            <w:tcBorders>
              <w:bottom w:val="single" w:sz="4" w:space="0" w:color="auto"/>
            </w:tcBorders>
            <w:shd w:val="clear" w:color="auto" w:fill="E7E6E6" w:themeFill="background2"/>
          </w:tcPr>
          <w:p w14:paraId="53900BBC" w14:textId="77777777" w:rsidR="000A7540" w:rsidRPr="00835574" w:rsidRDefault="000A7540" w:rsidP="00AF7ABF">
            <w:pPr>
              <w:pStyle w:val="Sinespaciado"/>
              <w:jc w:val="center"/>
              <w:rPr>
                <w:b/>
                <w:bCs/>
                <w:sz w:val="18"/>
                <w:szCs w:val="18"/>
              </w:rPr>
            </w:pPr>
            <w:r w:rsidRPr="00835574">
              <w:rPr>
                <w:b/>
                <w:bCs/>
                <w:sz w:val="18"/>
                <w:szCs w:val="18"/>
              </w:rPr>
              <w:t>Concepto (b)</w:t>
            </w:r>
          </w:p>
        </w:tc>
        <w:tc>
          <w:tcPr>
            <w:tcW w:w="479" w:type="pct"/>
            <w:tcBorders>
              <w:bottom w:val="single" w:sz="4" w:space="0" w:color="auto"/>
            </w:tcBorders>
            <w:shd w:val="clear" w:color="auto" w:fill="E7E6E6" w:themeFill="background2"/>
          </w:tcPr>
          <w:p w14:paraId="581F1685" w14:textId="02E37C2F" w:rsidR="000A7540" w:rsidRPr="00835574" w:rsidRDefault="000A7540" w:rsidP="00AF7ABF">
            <w:pPr>
              <w:pStyle w:val="Sinespaciado"/>
              <w:jc w:val="center"/>
              <w:rPr>
                <w:b/>
                <w:bCs/>
                <w:sz w:val="18"/>
                <w:szCs w:val="18"/>
              </w:rPr>
            </w:pPr>
            <w:r w:rsidRPr="00835574">
              <w:rPr>
                <w:b/>
                <w:bCs/>
                <w:sz w:val="18"/>
                <w:szCs w:val="18"/>
              </w:rPr>
              <w:t>20</w:t>
            </w:r>
            <w:r w:rsidR="0002559D" w:rsidRPr="00835574">
              <w:rPr>
                <w:b/>
                <w:bCs/>
                <w:sz w:val="18"/>
                <w:szCs w:val="18"/>
              </w:rPr>
              <w:t>23 (c)</w:t>
            </w:r>
          </w:p>
        </w:tc>
        <w:tc>
          <w:tcPr>
            <w:tcW w:w="491" w:type="pct"/>
            <w:tcBorders>
              <w:bottom w:val="single" w:sz="4" w:space="0" w:color="auto"/>
            </w:tcBorders>
            <w:shd w:val="clear" w:color="auto" w:fill="E7E6E6" w:themeFill="background2"/>
          </w:tcPr>
          <w:p w14:paraId="3BAFC362" w14:textId="1D0EBDA5" w:rsidR="000A7540" w:rsidRPr="00835574" w:rsidRDefault="000A7540" w:rsidP="00AF7ABF">
            <w:pPr>
              <w:pStyle w:val="Sinespaciado"/>
              <w:jc w:val="center"/>
              <w:rPr>
                <w:b/>
                <w:bCs/>
                <w:sz w:val="18"/>
                <w:szCs w:val="18"/>
              </w:rPr>
            </w:pPr>
            <w:r w:rsidRPr="00835574">
              <w:rPr>
                <w:b/>
                <w:bCs/>
                <w:sz w:val="18"/>
                <w:szCs w:val="18"/>
              </w:rPr>
              <w:t>20</w:t>
            </w:r>
            <w:r w:rsidR="0002559D" w:rsidRPr="00835574">
              <w:rPr>
                <w:b/>
                <w:bCs/>
                <w:sz w:val="18"/>
                <w:szCs w:val="18"/>
              </w:rPr>
              <w:t xml:space="preserve">24 </w:t>
            </w:r>
            <w:r w:rsidRPr="00835574">
              <w:rPr>
                <w:b/>
                <w:bCs/>
                <w:sz w:val="18"/>
                <w:szCs w:val="18"/>
              </w:rPr>
              <w:t>(</w:t>
            </w:r>
            <w:r w:rsidR="0002559D" w:rsidRPr="00835574">
              <w:rPr>
                <w:b/>
                <w:bCs/>
                <w:sz w:val="18"/>
                <w:szCs w:val="18"/>
              </w:rPr>
              <w:t>d</w:t>
            </w:r>
            <w:r w:rsidRPr="00835574">
              <w:rPr>
                <w:b/>
                <w:bCs/>
                <w:sz w:val="18"/>
                <w:szCs w:val="18"/>
              </w:rPr>
              <w:t>)</w:t>
            </w:r>
          </w:p>
        </w:tc>
        <w:tc>
          <w:tcPr>
            <w:tcW w:w="491" w:type="pct"/>
            <w:tcBorders>
              <w:bottom w:val="single" w:sz="4" w:space="0" w:color="auto"/>
            </w:tcBorders>
            <w:shd w:val="clear" w:color="auto" w:fill="E7E6E6" w:themeFill="background2"/>
          </w:tcPr>
          <w:p w14:paraId="60E762FD" w14:textId="3D044144" w:rsidR="000A7540" w:rsidRPr="00835574" w:rsidRDefault="000A7540" w:rsidP="00AF7ABF">
            <w:pPr>
              <w:pStyle w:val="Sinespaciado"/>
              <w:jc w:val="center"/>
              <w:rPr>
                <w:b/>
                <w:bCs/>
                <w:sz w:val="18"/>
                <w:szCs w:val="18"/>
              </w:rPr>
            </w:pPr>
            <w:r w:rsidRPr="00835574">
              <w:rPr>
                <w:b/>
                <w:bCs/>
                <w:sz w:val="18"/>
                <w:szCs w:val="18"/>
              </w:rPr>
              <w:t>20</w:t>
            </w:r>
            <w:r w:rsidR="0002559D" w:rsidRPr="00835574">
              <w:rPr>
                <w:b/>
                <w:bCs/>
                <w:sz w:val="18"/>
                <w:szCs w:val="18"/>
              </w:rPr>
              <w:t>25</w:t>
            </w:r>
            <w:r w:rsidRPr="00835574">
              <w:rPr>
                <w:b/>
                <w:bCs/>
                <w:sz w:val="18"/>
                <w:szCs w:val="18"/>
              </w:rPr>
              <w:t xml:space="preserve"> (</w:t>
            </w:r>
            <w:r w:rsidR="0002559D" w:rsidRPr="00835574">
              <w:rPr>
                <w:b/>
                <w:bCs/>
                <w:sz w:val="18"/>
                <w:szCs w:val="18"/>
              </w:rPr>
              <w:t>d</w:t>
            </w:r>
            <w:r w:rsidRPr="00835574">
              <w:rPr>
                <w:b/>
                <w:bCs/>
                <w:sz w:val="18"/>
                <w:szCs w:val="18"/>
              </w:rPr>
              <w:t>)</w:t>
            </w:r>
          </w:p>
        </w:tc>
        <w:tc>
          <w:tcPr>
            <w:tcW w:w="491" w:type="pct"/>
            <w:tcBorders>
              <w:bottom w:val="single" w:sz="4" w:space="0" w:color="auto"/>
            </w:tcBorders>
            <w:shd w:val="clear" w:color="auto" w:fill="E7E6E6" w:themeFill="background2"/>
          </w:tcPr>
          <w:p w14:paraId="27CD5C54" w14:textId="6750A830" w:rsidR="000A7540" w:rsidRPr="00835574" w:rsidRDefault="000A7540" w:rsidP="00AF7ABF">
            <w:pPr>
              <w:pStyle w:val="Sinespaciado"/>
              <w:jc w:val="center"/>
              <w:rPr>
                <w:b/>
                <w:bCs/>
                <w:sz w:val="18"/>
                <w:szCs w:val="18"/>
              </w:rPr>
            </w:pPr>
            <w:r w:rsidRPr="00835574">
              <w:rPr>
                <w:b/>
                <w:bCs/>
                <w:sz w:val="18"/>
                <w:szCs w:val="18"/>
              </w:rPr>
              <w:t>202</w:t>
            </w:r>
            <w:r w:rsidR="0002559D" w:rsidRPr="00835574">
              <w:rPr>
                <w:b/>
                <w:bCs/>
                <w:sz w:val="18"/>
                <w:szCs w:val="18"/>
              </w:rPr>
              <w:t xml:space="preserve">6 </w:t>
            </w:r>
            <w:r w:rsidRPr="00835574">
              <w:rPr>
                <w:b/>
                <w:bCs/>
                <w:sz w:val="18"/>
                <w:szCs w:val="18"/>
              </w:rPr>
              <w:t>(</w:t>
            </w:r>
            <w:r w:rsidR="0002559D" w:rsidRPr="00835574">
              <w:rPr>
                <w:b/>
                <w:bCs/>
                <w:sz w:val="18"/>
                <w:szCs w:val="18"/>
              </w:rPr>
              <w:t>d</w:t>
            </w:r>
            <w:r w:rsidRPr="00835574">
              <w:rPr>
                <w:b/>
                <w:bCs/>
                <w:sz w:val="18"/>
                <w:szCs w:val="18"/>
              </w:rPr>
              <w:t>)</w:t>
            </w:r>
          </w:p>
        </w:tc>
        <w:tc>
          <w:tcPr>
            <w:tcW w:w="491" w:type="pct"/>
            <w:tcBorders>
              <w:bottom w:val="single" w:sz="4" w:space="0" w:color="auto"/>
            </w:tcBorders>
            <w:shd w:val="clear" w:color="auto" w:fill="E7E6E6" w:themeFill="background2"/>
          </w:tcPr>
          <w:p w14:paraId="0C5BC2E2" w14:textId="6DFE5538" w:rsidR="000A7540" w:rsidRPr="00835574" w:rsidRDefault="000A7540" w:rsidP="00AF7ABF">
            <w:pPr>
              <w:pStyle w:val="Sinespaciado"/>
              <w:jc w:val="center"/>
              <w:rPr>
                <w:b/>
                <w:bCs/>
                <w:sz w:val="18"/>
                <w:szCs w:val="18"/>
              </w:rPr>
            </w:pPr>
            <w:r w:rsidRPr="00835574">
              <w:rPr>
                <w:b/>
                <w:bCs/>
                <w:sz w:val="18"/>
                <w:szCs w:val="18"/>
              </w:rPr>
              <w:t>202</w:t>
            </w:r>
            <w:r w:rsidR="0002559D" w:rsidRPr="00835574">
              <w:rPr>
                <w:b/>
                <w:bCs/>
                <w:sz w:val="18"/>
                <w:szCs w:val="18"/>
              </w:rPr>
              <w:t xml:space="preserve">7 </w:t>
            </w:r>
            <w:r w:rsidRPr="00835574">
              <w:rPr>
                <w:b/>
                <w:bCs/>
                <w:sz w:val="18"/>
                <w:szCs w:val="18"/>
              </w:rPr>
              <w:t>(</w:t>
            </w:r>
            <w:r w:rsidR="0002559D" w:rsidRPr="00835574">
              <w:rPr>
                <w:b/>
                <w:bCs/>
                <w:sz w:val="18"/>
                <w:szCs w:val="18"/>
              </w:rPr>
              <w:t>d</w:t>
            </w:r>
            <w:r w:rsidRPr="00835574">
              <w:rPr>
                <w:b/>
                <w:bCs/>
                <w:sz w:val="18"/>
                <w:szCs w:val="18"/>
              </w:rPr>
              <w:t>)</w:t>
            </w:r>
          </w:p>
        </w:tc>
        <w:tc>
          <w:tcPr>
            <w:tcW w:w="493" w:type="pct"/>
            <w:tcBorders>
              <w:bottom w:val="single" w:sz="4" w:space="0" w:color="auto"/>
            </w:tcBorders>
            <w:shd w:val="clear" w:color="auto" w:fill="E7E6E6" w:themeFill="background2"/>
          </w:tcPr>
          <w:p w14:paraId="37500CB4" w14:textId="09A3DA5E" w:rsidR="000A7540" w:rsidRPr="00835574" w:rsidRDefault="000A7540" w:rsidP="00AF7ABF">
            <w:pPr>
              <w:pStyle w:val="Sinespaciado"/>
              <w:jc w:val="center"/>
              <w:rPr>
                <w:b/>
                <w:bCs/>
                <w:sz w:val="18"/>
                <w:szCs w:val="18"/>
              </w:rPr>
            </w:pPr>
            <w:r w:rsidRPr="00835574">
              <w:rPr>
                <w:b/>
                <w:bCs/>
                <w:sz w:val="18"/>
                <w:szCs w:val="18"/>
              </w:rPr>
              <w:t>202</w:t>
            </w:r>
            <w:r w:rsidR="0002559D" w:rsidRPr="00835574">
              <w:rPr>
                <w:b/>
                <w:bCs/>
                <w:sz w:val="18"/>
                <w:szCs w:val="18"/>
              </w:rPr>
              <w:t xml:space="preserve">8 </w:t>
            </w:r>
            <w:r w:rsidRPr="00835574">
              <w:rPr>
                <w:b/>
                <w:bCs/>
                <w:sz w:val="18"/>
                <w:szCs w:val="18"/>
              </w:rPr>
              <w:t>(d)</w:t>
            </w:r>
          </w:p>
        </w:tc>
      </w:tr>
      <w:tr w:rsidR="00835574" w:rsidRPr="00835574" w14:paraId="769D2759" w14:textId="77777777" w:rsidTr="00E42435">
        <w:tc>
          <w:tcPr>
            <w:tcW w:w="2064" w:type="pct"/>
            <w:tcBorders>
              <w:top w:val="single" w:sz="4" w:space="0" w:color="auto"/>
              <w:left w:val="single" w:sz="4" w:space="0" w:color="auto"/>
              <w:bottom w:val="nil"/>
              <w:right w:val="single" w:sz="4" w:space="0" w:color="auto"/>
            </w:tcBorders>
            <w:shd w:val="clear" w:color="auto" w:fill="FFFFFF" w:themeFill="background1"/>
            <w:vAlign w:val="center"/>
          </w:tcPr>
          <w:p w14:paraId="59C61C70" w14:textId="77777777" w:rsidR="000A7540" w:rsidRPr="00835574" w:rsidRDefault="000A7540" w:rsidP="0002559D">
            <w:pPr>
              <w:pStyle w:val="Sinespaciado"/>
              <w:rPr>
                <w:sz w:val="12"/>
                <w:szCs w:val="12"/>
              </w:rPr>
            </w:pPr>
          </w:p>
        </w:tc>
        <w:tc>
          <w:tcPr>
            <w:tcW w:w="479" w:type="pct"/>
            <w:tcBorders>
              <w:top w:val="single" w:sz="4" w:space="0" w:color="auto"/>
              <w:left w:val="single" w:sz="4" w:space="0" w:color="auto"/>
              <w:bottom w:val="nil"/>
              <w:right w:val="single" w:sz="4" w:space="0" w:color="auto"/>
            </w:tcBorders>
            <w:shd w:val="clear" w:color="000000" w:fill="FFFFFF"/>
            <w:vAlign w:val="center"/>
          </w:tcPr>
          <w:p w14:paraId="203DC889" w14:textId="77777777" w:rsidR="000A7540" w:rsidRPr="00835574" w:rsidRDefault="000A7540" w:rsidP="0002559D">
            <w:pPr>
              <w:pStyle w:val="Sinespaciado"/>
            </w:pPr>
          </w:p>
        </w:tc>
        <w:tc>
          <w:tcPr>
            <w:tcW w:w="491" w:type="pct"/>
            <w:tcBorders>
              <w:top w:val="nil"/>
              <w:left w:val="single" w:sz="4" w:space="0" w:color="auto"/>
              <w:bottom w:val="nil"/>
              <w:right w:val="single" w:sz="4" w:space="0" w:color="auto"/>
            </w:tcBorders>
            <w:shd w:val="clear" w:color="000000" w:fill="FFFFFF"/>
            <w:vAlign w:val="center"/>
          </w:tcPr>
          <w:p w14:paraId="7D42ED0F" w14:textId="77777777" w:rsidR="000A7540" w:rsidRPr="00835574" w:rsidRDefault="000A7540" w:rsidP="0002559D">
            <w:pPr>
              <w:pStyle w:val="Sinespaciado"/>
            </w:pPr>
          </w:p>
        </w:tc>
        <w:tc>
          <w:tcPr>
            <w:tcW w:w="491" w:type="pct"/>
            <w:tcBorders>
              <w:top w:val="nil"/>
              <w:left w:val="single" w:sz="4" w:space="0" w:color="auto"/>
              <w:bottom w:val="nil"/>
              <w:right w:val="single" w:sz="4" w:space="0" w:color="auto"/>
            </w:tcBorders>
            <w:shd w:val="clear" w:color="000000" w:fill="FFFFFF"/>
            <w:vAlign w:val="center"/>
          </w:tcPr>
          <w:p w14:paraId="0B8D489F" w14:textId="77777777" w:rsidR="000A7540" w:rsidRPr="00835574" w:rsidRDefault="000A7540" w:rsidP="0002559D">
            <w:pPr>
              <w:pStyle w:val="Sinespaciado"/>
            </w:pPr>
          </w:p>
        </w:tc>
        <w:tc>
          <w:tcPr>
            <w:tcW w:w="491" w:type="pct"/>
            <w:tcBorders>
              <w:top w:val="nil"/>
              <w:left w:val="single" w:sz="4" w:space="0" w:color="auto"/>
              <w:bottom w:val="nil"/>
              <w:right w:val="single" w:sz="4" w:space="0" w:color="auto"/>
            </w:tcBorders>
            <w:shd w:val="clear" w:color="000000" w:fill="FFFFFF"/>
            <w:vAlign w:val="center"/>
          </w:tcPr>
          <w:p w14:paraId="4627AC17" w14:textId="77777777" w:rsidR="000A7540" w:rsidRPr="00835574" w:rsidRDefault="000A7540" w:rsidP="0002559D">
            <w:pPr>
              <w:pStyle w:val="Sinespaciado"/>
            </w:pPr>
          </w:p>
        </w:tc>
        <w:tc>
          <w:tcPr>
            <w:tcW w:w="491" w:type="pct"/>
            <w:tcBorders>
              <w:top w:val="nil"/>
              <w:left w:val="single" w:sz="4" w:space="0" w:color="auto"/>
              <w:bottom w:val="nil"/>
              <w:right w:val="single" w:sz="4" w:space="0" w:color="auto"/>
            </w:tcBorders>
            <w:shd w:val="clear" w:color="000000" w:fill="FFFFFF"/>
            <w:vAlign w:val="center"/>
          </w:tcPr>
          <w:p w14:paraId="7B01CE43" w14:textId="77777777" w:rsidR="000A7540" w:rsidRPr="00835574" w:rsidRDefault="000A7540" w:rsidP="0002559D">
            <w:pPr>
              <w:pStyle w:val="Sinespaciado"/>
            </w:pPr>
          </w:p>
        </w:tc>
        <w:tc>
          <w:tcPr>
            <w:tcW w:w="493" w:type="pct"/>
            <w:tcBorders>
              <w:top w:val="nil"/>
              <w:left w:val="single" w:sz="4" w:space="0" w:color="auto"/>
              <w:bottom w:val="nil"/>
              <w:right w:val="single" w:sz="4" w:space="0" w:color="auto"/>
            </w:tcBorders>
            <w:shd w:val="clear" w:color="000000" w:fill="FFFFFF"/>
            <w:vAlign w:val="center"/>
          </w:tcPr>
          <w:p w14:paraId="0F52CD5D" w14:textId="77777777" w:rsidR="000A7540" w:rsidRPr="00835574" w:rsidRDefault="000A7540" w:rsidP="0002559D">
            <w:pPr>
              <w:pStyle w:val="Sinespaciado"/>
            </w:pPr>
          </w:p>
        </w:tc>
      </w:tr>
      <w:tr w:rsidR="00835574" w:rsidRPr="00835574" w14:paraId="25CC636F" w14:textId="77777777" w:rsidTr="00E42435">
        <w:trPr>
          <w:trHeight w:val="315"/>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64EBCDB0" w14:textId="77777777" w:rsidR="0002559D" w:rsidRPr="0002559D" w:rsidRDefault="0002559D" w:rsidP="0002559D">
            <w:pPr>
              <w:rPr>
                <w:rFonts w:ascii="Arial" w:eastAsia="Times New Roman" w:hAnsi="Arial" w:cs="Arial"/>
                <w:b/>
                <w:bCs/>
                <w:sz w:val="12"/>
                <w:szCs w:val="12"/>
                <w:lang w:val="es-419" w:eastAsia="es-419"/>
              </w:rPr>
            </w:pPr>
            <w:r w:rsidRPr="0002559D">
              <w:rPr>
                <w:rFonts w:ascii="Arial" w:eastAsia="Times New Roman" w:hAnsi="Arial" w:cs="Arial"/>
                <w:b/>
                <w:bCs/>
                <w:sz w:val="12"/>
                <w:szCs w:val="12"/>
                <w:lang w:val="es-419" w:eastAsia="es-419"/>
              </w:rPr>
              <w:t>1.</w:t>
            </w:r>
            <w:r w:rsidRPr="0002559D">
              <w:rPr>
                <w:rFonts w:ascii="Times New Roman" w:eastAsia="Times New Roman" w:hAnsi="Times New Roman" w:cs="Times New Roman"/>
                <w:b/>
                <w:bCs/>
                <w:sz w:val="14"/>
                <w:szCs w:val="14"/>
                <w:lang w:val="es-419" w:eastAsia="es-419"/>
              </w:rPr>
              <w:t xml:space="preserve">  </w:t>
            </w:r>
            <w:r w:rsidRPr="0002559D">
              <w:rPr>
                <w:rFonts w:ascii="Arial" w:eastAsia="Times New Roman" w:hAnsi="Arial" w:cs="Arial"/>
                <w:b/>
                <w:bCs/>
                <w:sz w:val="12"/>
                <w:szCs w:val="12"/>
                <w:lang w:val="es-419" w:eastAsia="es-419"/>
              </w:rPr>
              <w:t>Gasto No Etiquetado</w:t>
            </w:r>
            <w:r w:rsidRPr="0002559D">
              <w:rPr>
                <w:rFonts w:ascii="Arial" w:eastAsia="Times New Roman" w:hAnsi="Arial" w:cs="Arial"/>
                <w:sz w:val="12"/>
                <w:szCs w:val="12"/>
                <w:lang w:val="es-419" w:eastAsia="es-419"/>
              </w:rPr>
              <w:t xml:space="preserve"> </w:t>
            </w:r>
            <w:r w:rsidRPr="0002559D">
              <w:rPr>
                <w:rFonts w:ascii="Arial" w:eastAsia="Times New Roman" w:hAnsi="Arial" w:cs="Arial"/>
                <w:b/>
                <w:bCs/>
                <w:sz w:val="12"/>
                <w:szCs w:val="12"/>
                <w:lang w:val="es-419" w:eastAsia="es-419"/>
              </w:rPr>
              <w:t>(1=A+B+C+D+E+F+G+H+I)</w:t>
            </w:r>
          </w:p>
        </w:tc>
        <w:tc>
          <w:tcPr>
            <w:tcW w:w="479" w:type="pct"/>
            <w:tcBorders>
              <w:top w:val="nil"/>
              <w:left w:val="single" w:sz="4" w:space="0" w:color="auto"/>
              <w:bottom w:val="nil"/>
              <w:right w:val="single" w:sz="4" w:space="0" w:color="auto"/>
            </w:tcBorders>
            <w:shd w:val="clear" w:color="000000" w:fill="FFFFFF"/>
            <w:noWrap/>
            <w:vAlign w:val="center"/>
            <w:hideMark/>
          </w:tcPr>
          <w:p w14:paraId="453ECCDA" w14:textId="6584B939"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26,355.95</w:t>
            </w:r>
          </w:p>
        </w:tc>
        <w:tc>
          <w:tcPr>
            <w:tcW w:w="491" w:type="pct"/>
            <w:tcBorders>
              <w:top w:val="nil"/>
              <w:left w:val="single" w:sz="4" w:space="0" w:color="auto"/>
              <w:bottom w:val="nil"/>
              <w:right w:val="single" w:sz="4" w:space="0" w:color="auto"/>
            </w:tcBorders>
            <w:shd w:val="clear" w:color="000000" w:fill="FFFFFF"/>
            <w:noWrap/>
            <w:vAlign w:val="center"/>
            <w:hideMark/>
          </w:tcPr>
          <w:p w14:paraId="1545A0F6" w14:textId="5B0D190D"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27,146.63</w:t>
            </w:r>
          </w:p>
        </w:tc>
        <w:tc>
          <w:tcPr>
            <w:tcW w:w="491" w:type="pct"/>
            <w:tcBorders>
              <w:top w:val="nil"/>
              <w:left w:val="single" w:sz="4" w:space="0" w:color="auto"/>
              <w:bottom w:val="nil"/>
              <w:right w:val="single" w:sz="4" w:space="0" w:color="auto"/>
            </w:tcBorders>
            <w:shd w:val="clear" w:color="000000" w:fill="FFFFFF"/>
            <w:noWrap/>
            <w:vAlign w:val="center"/>
            <w:hideMark/>
          </w:tcPr>
          <w:p w14:paraId="2B3CC813" w14:textId="73A1AACC"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27,961.03</w:t>
            </w:r>
          </w:p>
        </w:tc>
        <w:tc>
          <w:tcPr>
            <w:tcW w:w="491" w:type="pct"/>
            <w:tcBorders>
              <w:top w:val="nil"/>
              <w:left w:val="single" w:sz="4" w:space="0" w:color="auto"/>
              <w:bottom w:val="nil"/>
              <w:right w:val="single" w:sz="4" w:space="0" w:color="auto"/>
            </w:tcBorders>
            <w:shd w:val="clear" w:color="000000" w:fill="FFFFFF"/>
            <w:noWrap/>
            <w:vAlign w:val="center"/>
            <w:hideMark/>
          </w:tcPr>
          <w:p w14:paraId="55D4380C" w14:textId="6B76B954"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28,799.86</w:t>
            </w:r>
          </w:p>
        </w:tc>
        <w:tc>
          <w:tcPr>
            <w:tcW w:w="491" w:type="pct"/>
            <w:tcBorders>
              <w:top w:val="nil"/>
              <w:left w:val="single" w:sz="4" w:space="0" w:color="auto"/>
              <w:bottom w:val="nil"/>
              <w:right w:val="single" w:sz="4" w:space="0" w:color="auto"/>
            </w:tcBorders>
            <w:shd w:val="clear" w:color="000000" w:fill="FFFFFF"/>
            <w:noWrap/>
            <w:vAlign w:val="center"/>
            <w:hideMark/>
          </w:tcPr>
          <w:p w14:paraId="49771893" w14:textId="4A7366F9"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29,663.85</w:t>
            </w:r>
          </w:p>
        </w:tc>
        <w:tc>
          <w:tcPr>
            <w:tcW w:w="493" w:type="pct"/>
            <w:tcBorders>
              <w:top w:val="nil"/>
              <w:left w:val="single" w:sz="4" w:space="0" w:color="auto"/>
              <w:bottom w:val="nil"/>
              <w:right w:val="single" w:sz="4" w:space="0" w:color="auto"/>
            </w:tcBorders>
            <w:shd w:val="clear" w:color="000000" w:fill="FFFFFF"/>
            <w:noWrap/>
            <w:vAlign w:val="center"/>
            <w:hideMark/>
          </w:tcPr>
          <w:p w14:paraId="78F68EAC" w14:textId="2D9C429F"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30,553.77</w:t>
            </w:r>
          </w:p>
        </w:tc>
      </w:tr>
      <w:tr w:rsidR="00835574" w:rsidRPr="00835574" w14:paraId="7B8D1022"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2D0F520C"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A.</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Servicios Personales</w:t>
            </w:r>
          </w:p>
        </w:tc>
        <w:tc>
          <w:tcPr>
            <w:tcW w:w="479" w:type="pct"/>
            <w:tcBorders>
              <w:top w:val="nil"/>
              <w:left w:val="single" w:sz="4" w:space="0" w:color="auto"/>
              <w:bottom w:val="nil"/>
              <w:right w:val="single" w:sz="4" w:space="0" w:color="auto"/>
            </w:tcBorders>
            <w:shd w:val="clear" w:color="000000" w:fill="FFFFFF"/>
            <w:noWrap/>
            <w:vAlign w:val="center"/>
            <w:hideMark/>
          </w:tcPr>
          <w:p w14:paraId="3FCB5D18" w14:textId="51E803A1"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6,635.47</w:t>
            </w:r>
          </w:p>
        </w:tc>
        <w:tc>
          <w:tcPr>
            <w:tcW w:w="491" w:type="pct"/>
            <w:tcBorders>
              <w:top w:val="nil"/>
              <w:left w:val="single" w:sz="4" w:space="0" w:color="auto"/>
              <w:bottom w:val="nil"/>
              <w:right w:val="single" w:sz="4" w:space="0" w:color="auto"/>
            </w:tcBorders>
            <w:shd w:val="clear" w:color="000000" w:fill="FFFFFF"/>
            <w:noWrap/>
            <w:vAlign w:val="center"/>
            <w:hideMark/>
          </w:tcPr>
          <w:p w14:paraId="77BF272D" w14:textId="49C0C3CD"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6,834.54</w:t>
            </w:r>
          </w:p>
        </w:tc>
        <w:tc>
          <w:tcPr>
            <w:tcW w:w="491" w:type="pct"/>
            <w:tcBorders>
              <w:top w:val="nil"/>
              <w:left w:val="single" w:sz="4" w:space="0" w:color="auto"/>
              <w:bottom w:val="nil"/>
              <w:right w:val="single" w:sz="4" w:space="0" w:color="auto"/>
            </w:tcBorders>
            <w:shd w:val="clear" w:color="000000" w:fill="FFFFFF"/>
            <w:noWrap/>
            <w:vAlign w:val="center"/>
            <w:hideMark/>
          </w:tcPr>
          <w:p w14:paraId="7B4ED1CB" w14:textId="27A3CB54"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7,039.57</w:t>
            </w:r>
          </w:p>
        </w:tc>
        <w:tc>
          <w:tcPr>
            <w:tcW w:w="491" w:type="pct"/>
            <w:tcBorders>
              <w:top w:val="nil"/>
              <w:left w:val="single" w:sz="4" w:space="0" w:color="auto"/>
              <w:bottom w:val="nil"/>
              <w:right w:val="single" w:sz="4" w:space="0" w:color="auto"/>
            </w:tcBorders>
            <w:shd w:val="clear" w:color="000000" w:fill="FFFFFF"/>
            <w:noWrap/>
            <w:vAlign w:val="center"/>
            <w:hideMark/>
          </w:tcPr>
          <w:p w14:paraId="19D3610B" w14:textId="3B7A3E5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7,250.76</w:t>
            </w:r>
          </w:p>
        </w:tc>
        <w:tc>
          <w:tcPr>
            <w:tcW w:w="491" w:type="pct"/>
            <w:tcBorders>
              <w:top w:val="nil"/>
              <w:left w:val="single" w:sz="4" w:space="0" w:color="auto"/>
              <w:bottom w:val="nil"/>
              <w:right w:val="single" w:sz="4" w:space="0" w:color="auto"/>
            </w:tcBorders>
            <w:shd w:val="clear" w:color="000000" w:fill="FFFFFF"/>
            <w:noWrap/>
            <w:vAlign w:val="center"/>
            <w:hideMark/>
          </w:tcPr>
          <w:p w14:paraId="5D3EA60E" w14:textId="08302D6C"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7,468.28</w:t>
            </w:r>
          </w:p>
        </w:tc>
        <w:tc>
          <w:tcPr>
            <w:tcW w:w="493" w:type="pct"/>
            <w:tcBorders>
              <w:top w:val="nil"/>
              <w:left w:val="single" w:sz="4" w:space="0" w:color="auto"/>
              <w:bottom w:val="nil"/>
              <w:right w:val="single" w:sz="4" w:space="0" w:color="auto"/>
            </w:tcBorders>
            <w:shd w:val="clear" w:color="000000" w:fill="FFFFFF"/>
            <w:noWrap/>
            <w:vAlign w:val="center"/>
            <w:hideMark/>
          </w:tcPr>
          <w:p w14:paraId="477556BB" w14:textId="5249AF40"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7,692.33</w:t>
            </w:r>
          </w:p>
        </w:tc>
      </w:tr>
      <w:tr w:rsidR="00835574" w:rsidRPr="00835574" w14:paraId="03B3120F"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6DB0DE23"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B.</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Materiales y Suministros</w:t>
            </w:r>
          </w:p>
        </w:tc>
        <w:tc>
          <w:tcPr>
            <w:tcW w:w="479" w:type="pct"/>
            <w:tcBorders>
              <w:top w:val="nil"/>
              <w:left w:val="single" w:sz="4" w:space="0" w:color="auto"/>
              <w:bottom w:val="nil"/>
              <w:right w:val="single" w:sz="4" w:space="0" w:color="auto"/>
            </w:tcBorders>
            <w:shd w:val="clear" w:color="000000" w:fill="FFFFFF"/>
            <w:noWrap/>
            <w:vAlign w:val="center"/>
            <w:hideMark/>
          </w:tcPr>
          <w:p w14:paraId="3546D33C" w14:textId="5C8E9B0F"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375.70</w:t>
            </w:r>
          </w:p>
        </w:tc>
        <w:tc>
          <w:tcPr>
            <w:tcW w:w="491" w:type="pct"/>
            <w:tcBorders>
              <w:top w:val="nil"/>
              <w:left w:val="single" w:sz="4" w:space="0" w:color="auto"/>
              <w:bottom w:val="nil"/>
              <w:right w:val="single" w:sz="4" w:space="0" w:color="auto"/>
            </w:tcBorders>
            <w:shd w:val="clear" w:color="000000" w:fill="FFFFFF"/>
            <w:noWrap/>
            <w:vAlign w:val="center"/>
            <w:hideMark/>
          </w:tcPr>
          <w:p w14:paraId="79227BA3" w14:textId="46493536"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386.97</w:t>
            </w:r>
          </w:p>
        </w:tc>
        <w:tc>
          <w:tcPr>
            <w:tcW w:w="491" w:type="pct"/>
            <w:tcBorders>
              <w:top w:val="nil"/>
              <w:left w:val="single" w:sz="4" w:space="0" w:color="auto"/>
              <w:bottom w:val="nil"/>
              <w:right w:val="single" w:sz="4" w:space="0" w:color="auto"/>
            </w:tcBorders>
            <w:shd w:val="clear" w:color="000000" w:fill="FFFFFF"/>
            <w:noWrap/>
            <w:vAlign w:val="center"/>
            <w:hideMark/>
          </w:tcPr>
          <w:p w14:paraId="3AEE0A0F" w14:textId="5346CDBF"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398.58</w:t>
            </w:r>
          </w:p>
        </w:tc>
        <w:tc>
          <w:tcPr>
            <w:tcW w:w="491" w:type="pct"/>
            <w:tcBorders>
              <w:top w:val="nil"/>
              <w:left w:val="single" w:sz="4" w:space="0" w:color="auto"/>
              <w:bottom w:val="nil"/>
              <w:right w:val="single" w:sz="4" w:space="0" w:color="auto"/>
            </w:tcBorders>
            <w:shd w:val="clear" w:color="000000" w:fill="FFFFFF"/>
            <w:noWrap/>
            <w:vAlign w:val="center"/>
            <w:hideMark/>
          </w:tcPr>
          <w:p w14:paraId="5904C660" w14:textId="3BB07C5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410.54</w:t>
            </w:r>
          </w:p>
        </w:tc>
        <w:tc>
          <w:tcPr>
            <w:tcW w:w="491" w:type="pct"/>
            <w:tcBorders>
              <w:top w:val="nil"/>
              <w:left w:val="single" w:sz="4" w:space="0" w:color="auto"/>
              <w:bottom w:val="nil"/>
              <w:right w:val="single" w:sz="4" w:space="0" w:color="auto"/>
            </w:tcBorders>
            <w:shd w:val="clear" w:color="000000" w:fill="FFFFFF"/>
            <w:noWrap/>
            <w:vAlign w:val="center"/>
            <w:hideMark/>
          </w:tcPr>
          <w:p w14:paraId="273B446B" w14:textId="7F538983"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422.86</w:t>
            </w:r>
          </w:p>
        </w:tc>
        <w:tc>
          <w:tcPr>
            <w:tcW w:w="493" w:type="pct"/>
            <w:tcBorders>
              <w:top w:val="nil"/>
              <w:left w:val="single" w:sz="4" w:space="0" w:color="auto"/>
              <w:bottom w:val="nil"/>
              <w:right w:val="single" w:sz="4" w:space="0" w:color="auto"/>
            </w:tcBorders>
            <w:shd w:val="clear" w:color="000000" w:fill="FFFFFF"/>
            <w:noWrap/>
            <w:vAlign w:val="center"/>
            <w:hideMark/>
          </w:tcPr>
          <w:p w14:paraId="27BC73CC" w14:textId="2A09071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435.54</w:t>
            </w:r>
          </w:p>
        </w:tc>
      </w:tr>
      <w:tr w:rsidR="00835574" w:rsidRPr="00835574" w14:paraId="52A10226"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07C87EBA"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C.</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Servicios Generales</w:t>
            </w:r>
          </w:p>
        </w:tc>
        <w:tc>
          <w:tcPr>
            <w:tcW w:w="479" w:type="pct"/>
            <w:tcBorders>
              <w:top w:val="nil"/>
              <w:left w:val="single" w:sz="4" w:space="0" w:color="auto"/>
              <w:bottom w:val="nil"/>
              <w:right w:val="single" w:sz="4" w:space="0" w:color="auto"/>
            </w:tcBorders>
            <w:shd w:val="clear" w:color="000000" w:fill="FFFFFF"/>
            <w:noWrap/>
            <w:vAlign w:val="center"/>
            <w:hideMark/>
          </w:tcPr>
          <w:p w14:paraId="31B25EAB" w14:textId="4842E65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1,017.21</w:t>
            </w:r>
          </w:p>
        </w:tc>
        <w:tc>
          <w:tcPr>
            <w:tcW w:w="491" w:type="pct"/>
            <w:tcBorders>
              <w:top w:val="nil"/>
              <w:left w:val="single" w:sz="4" w:space="0" w:color="auto"/>
              <w:bottom w:val="nil"/>
              <w:right w:val="single" w:sz="4" w:space="0" w:color="auto"/>
            </w:tcBorders>
            <w:shd w:val="clear" w:color="000000" w:fill="FFFFFF"/>
            <w:noWrap/>
            <w:vAlign w:val="center"/>
            <w:hideMark/>
          </w:tcPr>
          <w:p w14:paraId="22E68955" w14:textId="140AED21"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1,047.72</w:t>
            </w:r>
          </w:p>
        </w:tc>
        <w:tc>
          <w:tcPr>
            <w:tcW w:w="491" w:type="pct"/>
            <w:tcBorders>
              <w:top w:val="nil"/>
              <w:left w:val="single" w:sz="4" w:space="0" w:color="auto"/>
              <w:bottom w:val="nil"/>
              <w:right w:val="single" w:sz="4" w:space="0" w:color="auto"/>
            </w:tcBorders>
            <w:shd w:val="clear" w:color="000000" w:fill="FFFFFF"/>
            <w:noWrap/>
            <w:vAlign w:val="center"/>
            <w:hideMark/>
          </w:tcPr>
          <w:p w14:paraId="012F5919" w14:textId="3155F89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1,079.16</w:t>
            </w:r>
          </w:p>
        </w:tc>
        <w:tc>
          <w:tcPr>
            <w:tcW w:w="491" w:type="pct"/>
            <w:tcBorders>
              <w:top w:val="nil"/>
              <w:left w:val="single" w:sz="4" w:space="0" w:color="auto"/>
              <w:bottom w:val="nil"/>
              <w:right w:val="single" w:sz="4" w:space="0" w:color="auto"/>
            </w:tcBorders>
            <w:shd w:val="clear" w:color="000000" w:fill="FFFFFF"/>
            <w:noWrap/>
            <w:vAlign w:val="center"/>
            <w:hideMark/>
          </w:tcPr>
          <w:p w14:paraId="1079D80C" w14:textId="03F332C4"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1,111.53</w:t>
            </w:r>
          </w:p>
        </w:tc>
        <w:tc>
          <w:tcPr>
            <w:tcW w:w="491" w:type="pct"/>
            <w:tcBorders>
              <w:top w:val="nil"/>
              <w:left w:val="single" w:sz="4" w:space="0" w:color="auto"/>
              <w:bottom w:val="nil"/>
              <w:right w:val="single" w:sz="4" w:space="0" w:color="auto"/>
            </w:tcBorders>
            <w:shd w:val="clear" w:color="000000" w:fill="FFFFFF"/>
            <w:noWrap/>
            <w:vAlign w:val="center"/>
            <w:hideMark/>
          </w:tcPr>
          <w:p w14:paraId="2D61EE2C" w14:textId="2BE0B1EB"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1,144.88</w:t>
            </w:r>
          </w:p>
        </w:tc>
        <w:tc>
          <w:tcPr>
            <w:tcW w:w="493" w:type="pct"/>
            <w:tcBorders>
              <w:top w:val="nil"/>
              <w:left w:val="single" w:sz="4" w:space="0" w:color="auto"/>
              <w:bottom w:val="nil"/>
              <w:right w:val="single" w:sz="4" w:space="0" w:color="auto"/>
            </w:tcBorders>
            <w:shd w:val="clear" w:color="000000" w:fill="FFFFFF"/>
            <w:noWrap/>
            <w:vAlign w:val="center"/>
            <w:hideMark/>
          </w:tcPr>
          <w:p w14:paraId="20FADA9A" w14:textId="0248D961"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1,179.22</w:t>
            </w:r>
          </w:p>
        </w:tc>
      </w:tr>
      <w:tr w:rsidR="00835574" w:rsidRPr="00835574" w14:paraId="5CB88C3D"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05DC56D8"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D.</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Transferencias, Asignaciones, Subsidios y Otras Ayudas</w:t>
            </w:r>
          </w:p>
        </w:tc>
        <w:tc>
          <w:tcPr>
            <w:tcW w:w="479" w:type="pct"/>
            <w:tcBorders>
              <w:top w:val="nil"/>
              <w:left w:val="single" w:sz="4" w:space="0" w:color="auto"/>
              <w:bottom w:val="nil"/>
              <w:right w:val="single" w:sz="4" w:space="0" w:color="auto"/>
            </w:tcBorders>
            <w:shd w:val="clear" w:color="000000" w:fill="FFFFFF"/>
            <w:noWrap/>
            <w:vAlign w:val="center"/>
            <w:hideMark/>
          </w:tcPr>
          <w:p w14:paraId="70FC4EF8" w14:textId="7B78D2D7"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15,987.50</w:t>
            </w:r>
          </w:p>
        </w:tc>
        <w:tc>
          <w:tcPr>
            <w:tcW w:w="491" w:type="pct"/>
            <w:tcBorders>
              <w:top w:val="nil"/>
              <w:left w:val="single" w:sz="4" w:space="0" w:color="auto"/>
              <w:bottom w:val="nil"/>
              <w:right w:val="single" w:sz="4" w:space="0" w:color="auto"/>
            </w:tcBorders>
            <w:shd w:val="clear" w:color="000000" w:fill="FFFFFF"/>
            <w:noWrap/>
            <w:vAlign w:val="center"/>
            <w:hideMark/>
          </w:tcPr>
          <w:p w14:paraId="1A6E6A45" w14:textId="003EEA9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16,467.12</w:t>
            </w:r>
          </w:p>
        </w:tc>
        <w:tc>
          <w:tcPr>
            <w:tcW w:w="491" w:type="pct"/>
            <w:tcBorders>
              <w:top w:val="nil"/>
              <w:left w:val="single" w:sz="4" w:space="0" w:color="auto"/>
              <w:bottom w:val="nil"/>
              <w:right w:val="single" w:sz="4" w:space="0" w:color="auto"/>
            </w:tcBorders>
            <w:shd w:val="clear" w:color="000000" w:fill="FFFFFF"/>
            <w:noWrap/>
            <w:vAlign w:val="center"/>
            <w:hideMark/>
          </w:tcPr>
          <w:p w14:paraId="18EF9B61" w14:textId="7796101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16,961.14</w:t>
            </w:r>
          </w:p>
        </w:tc>
        <w:tc>
          <w:tcPr>
            <w:tcW w:w="491" w:type="pct"/>
            <w:tcBorders>
              <w:top w:val="nil"/>
              <w:left w:val="single" w:sz="4" w:space="0" w:color="auto"/>
              <w:bottom w:val="nil"/>
              <w:right w:val="single" w:sz="4" w:space="0" w:color="auto"/>
            </w:tcBorders>
            <w:shd w:val="clear" w:color="000000" w:fill="FFFFFF"/>
            <w:noWrap/>
            <w:vAlign w:val="center"/>
            <w:hideMark/>
          </w:tcPr>
          <w:p w14:paraId="3B28A890" w14:textId="719DDF8B"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17,469.97</w:t>
            </w:r>
          </w:p>
        </w:tc>
        <w:tc>
          <w:tcPr>
            <w:tcW w:w="491" w:type="pct"/>
            <w:tcBorders>
              <w:top w:val="nil"/>
              <w:left w:val="single" w:sz="4" w:space="0" w:color="auto"/>
              <w:bottom w:val="nil"/>
              <w:right w:val="single" w:sz="4" w:space="0" w:color="auto"/>
            </w:tcBorders>
            <w:shd w:val="clear" w:color="000000" w:fill="FFFFFF"/>
            <w:noWrap/>
            <w:vAlign w:val="center"/>
            <w:hideMark/>
          </w:tcPr>
          <w:p w14:paraId="21D76B5D" w14:textId="1DAC34C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17,994.07</w:t>
            </w:r>
          </w:p>
        </w:tc>
        <w:tc>
          <w:tcPr>
            <w:tcW w:w="493" w:type="pct"/>
            <w:tcBorders>
              <w:top w:val="nil"/>
              <w:left w:val="single" w:sz="4" w:space="0" w:color="auto"/>
              <w:bottom w:val="nil"/>
              <w:right w:val="single" w:sz="4" w:space="0" w:color="auto"/>
            </w:tcBorders>
            <w:shd w:val="clear" w:color="000000" w:fill="FFFFFF"/>
            <w:noWrap/>
            <w:vAlign w:val="center"/>
            <w:hideMark/>
          </w:tcPr>
          <w:p w14:paraId="603E9A76" w14:textId="0C90390C"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18,533.89</w:t>
            </w:r>
          </w:p>
        </w:tc>
      </w:tr>
      <w:tr w:rsidR="00835574" w:rsidRPr="00835574" w14:paraId="3E6FB4F3"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2EE8E52A"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E.</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Bienes Muebles, Inmuebles e Intangibles</w:t>
            </w:r>
          </w:p>
        </w:tc>
        <w:tc>
          <w:tcPr>
            <w:tcW w:w="479" w:type="pct"/>
            <w:tcBorders>
              <w:top w:val="nil"/>
              <w:left w:val="single" w:sz="4" w:space="0" w:color="auto"/>
              <w:bottom w:val="nil"/>
              <w:right w:val="single" w:sz="4" w:space="0" w:color="auto"/>
            </w:tcBorders>
            <w:shd w:val="clear" w:color="000000" w:fill="FFFFFF"/>
            <w:noWrap/>
            <w:vAlign w:val="center"/>
            <w:hideMark/>
          </w:tcPr>
          <w:p w14:paraId="37AC5067" w14:textId="780C5FD6"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56.17</w:t>
            </w:r>
          </w:p>
        </w:tc>
        <w:tc>
          <w:tcPr>
            <w:tcW w:w="491" w:type="pct"/>
            <w:tcBorders>
              <w:top w:val="nil"/>
              <w:left w:val="single" w:sz="4" w:space="0" w:color="auto"/>
              <w:bottom w:val="nil"/>
              <w:right w:val="single" w:sz="4" w:space="0" w:color="auto"/>
            </w:tcBorders>
            <w:shd w:val="clear" w:color="000000" w:fill="FFFFFF"/>
            <w:noWrap/>
            <w:vAlign w:val="center"/>
            <w:hideMark/>
          </w:tcPr>
          <w:p w14:paraId="68955895" w14:textId="709C51E6"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57.86</w:t>
            </w:r>
          </w:p>
        </w:tc>
        <w:tc>
          <w:tcPr>
            <w:tcW w:w="491" w:type="pct"/>
            <w:tcBorders>
              <w:top w:val="nil"/>
              <w:left w:val="single" w:sz="4" w:space="0" w:color="auto"/>
              <w:bottom w:val="nil"/>
              <w:right w:val="single" w:sz="4" w:space="0" w:color="auto"/>
            </w:tcBorders>
            <w:shd w:val="clear" w:color="000000" w:fill="FFFFFF"/>
            <w:noWrap/>
            <w:vAlign w:val="center"/>
            <w:hideMark/>
          </w:tcPr>
          <w:p w14:paraId="44742BD0" w14:textId="47056A8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59.59</w:t>
            </w:r>
          </w:p>
        </w:tc>
        <w:tc>
          <w:tcPr>
            <w:tcW w:w="491" w:type="pct"/>
            <w:tcBorders>
              <w:top w:val="nil"/>
              <w:left w:val="single" w:sz="4" w:space="0" w:color="auto"/>
              <w:bottom w:val="nil"/>
              <w:right w:val="single" w:sz="4" w:space="0" w:color="auto"/>
            </w:tcBorders>
            <w:shd w:val="clear" w:color="000000" w:fill="FFFFFF"/>
            <w:noWrap/>
            <w:vAlign w:val="center"/>
            <w:hideMark/>
          </w:tcPr>
          <w:p w14:paraId="37C1A2AE" w14:textId="4049EA9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61.38</w:t>
            </w:r>
          </w:p>
        </w:tc>
        <w:tc>
          <w:tcPr>
            <w:tcW w:w="491" w:type="pct"/>
            <w:tcBorders>
              <w:top w:val="nil"/>
              <w:left w:val="single" w:sz="4" w:space="0" w:color="auto"/>
              <w:bottom w:val="nil"/>
              <w:right w:val="single" w:sz="4" w:space="0" w:color="auto"/>
            </w:tcBorders>
            <w:shd w:val="clear" w:color="000000" w:fill="FFFFFF"/>
            <w:noWrap/>
            <w:vAlign w:val="center"/>
            <w:hideMark/>
          </w:tcPr>
          <w:p w14:paraId="1A8AB811" w14:textId="4F1F098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63.22</w:t>
            </w:r>
          </w:p>
        </w:tc>
        <w:tc>
          <w:tcPr>
            <w:tcW w:w="493" w:type="pct"/>
            <w:tcBorders>
              <w:top w:val="nil"/>
              <w:left w:val="single" w:sz="4" w:space="0" w:color="auto"/>
              <w:bottom w:val="nil"/>
              <w:right w:val="single" w:sz="4" w:space="0" w:color="auto"/>
            </w:tcBorders>
            <w:shd w:val="clear" w:color="000000" w:fill="FFFFFF"/>
            <w:noWrap/>
            <w:vAlign w:val="center"/>
            <w:hideMark/>
          </w:tcPr>
          <w:p w14:paraId="56C42942" w14:textId="2BFAF15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65.12</w:t>
            </w:r>
          </w:p>
        </w:tc>
      </w:tr>
      <w:tr w:rsidR="00835574" w:rsidRPr="00835574" w14:paraId="551ABD17"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5E7D9E4D"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F.</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Inversión Pública</w:t>
            </w:r>
          </w:p>
        </w:tc>
        <w:tc>
          <w:tcPr>
            <w:tcW w:w="479" w:type="pct"/>
            <w:tcBorders>
              <w:top w:val="nil"/>
              <w:left w:val="single" w:sz="4" w:space="0" w:color="auto"/>
              <w:bottom w:val="nil"/>
              <w:right w:val="single" w:sz="4" w:space="0" w:color="auto"/>
            </w:tcBorders>
            <w:shd w:val="clear" w:color="000000" w:fill="FFFFFF"/>
            <w:noWrap/>
            <w:vAlign w:val="center"/>
            <w:hideMark/>
          </w:tcPr>
          <w:p w14:paraId="142EC984" w14:textId="693973E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2,086.67</w:t>
            </w:r>
          </w:p>
        </w:tc>
        <w:tc>
          <w:tcPr>
            <w:tcW w:w="491" w:type="pct"/>
            <w:tcBorders>
              <w:top w:val="nil"/>
              <w:left w:val="single" w:sz="4" w:space="0" w:color="auto"/>
              <w:bottom w:val="nil"/>
              <w:right w:val="single" w:sz="4" w:space="0" w:color="auto"/>
            </w:tcBorders>
            <w:shd w:val="clear" w:color="000000" w:fill="FFFFFF"/>
            <w:noWrap/>
            <w:vAlign w:val="center"/>
            <w:hideMark/>
          </w:tcPr>
          <w:p w14:paraId="61F582C0" w14:textId="6640B4FA"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2,149.27</w:t>
            </w:r>
          </w:p>
        </w:tc>
        <w:tc>
          <w:tcPr>
            <w:tcW w:w="491" w:type="pct"/>
            <w:tcBorders>
              <w:top w:val="nil"/>
              <w:left w:val="single" w:sz="4" w:space="0" w:color="auto"/>
              <w:bottom w:val="nil"/>
              <w:right w:val="single" w:sz="4" w:space="0" w:color="auto"/>
            </w:tcBorders>
            <w:shd w:val="clear" w:color="000000" w:fill="FFFFFF"/>
            <w:noWrap/>
            <w:vAlign w:val="center"/>
            <w:hideMark/>
          </w:tcPr>
          <w:p w14:paraId="22A5E9A0" w14:textId="51CFDD1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2,213.75</w:t>
            </w:r>
          </w:p>
        </w:tc>
        <w:tc>
          <w:tcPr>
            <w:tcW w:w="491" w:type="pct"/>
            <w:tcBorders>
              <w:top w:val="nil"/>
              <w:left w:val="single" w:sz="4" w:space="0" w:color="auto"/>
              <w:bottom w:val="nil"/>
              <w:right w:val="single" w:sz="4" w:space="0" w:color="auto"/>
            </w:tcBorders>
            <w:shd w:val="clear" w:color="000000" w:fill="FFFFFF"/>
            <w:noWrap/>
            <w:vAlign w:val="center"/>
            <w:hideMark/>
          </w:tcPr>
          <w:p w14:paraId="52006BDA" w14:textId="79114FD7"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2,280.16</w:t>
            </w:r>
          </w:p>
        </w:tc>
        <w:tc>
          <w:tcPr>
            <w:tcW w:w="491" w:type="pct"/>
            <w:tcBorders>
              <w:top w:val="nil"/>
              <w:left w:val="single" w:sz="4" w:space="0" w:color="auto"/>
              <w:bottom w:val="nil"/>
              <w:right w:val="single" w:sz="4" w:space="0" w:color="auto"/>
            </w:tcBorders>
            <w:shd w:val="clear" w:color="000000" w:fill="FFFFFF"/>
            <w:noWrap/>
            <w:vAlign w:val="center"/>
            <w:hideMark/>
          </w:tcPr>
          <w:p w14:paraId="75366408" w14:textId="746D2DB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2,348.57</w:t>
            </w:r>
          </w:p>
        </w:tc>
        <w:tc>
          <w:tcPr>
            <w:tcW w:w="493" w:type="pct"/>
            <w:tcBorders>
              <w:top w:val="nil"/>
              <w:left w:val="single" w:sz="4" w:space="0" w:color="auto"/>
              <w:bottom w:val="nil"/>
              <w:right w:val="single" w:sz="4" w:space="0" w:color="auto"/>
            </w:tcBorders>
            <w:shd w:val="clear" w:color="000000" w:fill="FFFFFF"/>
            <w:noWrap/>
            <w:vAlign w:val="center"/>
            <w:hideMark/>
          </w:tcPr>
          <w:p w14:paraId="42A87EF1" w14:textId="1B1E3A2B"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2,419.03</w:t>
            </w:r>
          </w:p>
        </w:tc>
      </w:tr>
      <w:tr w:rsidR="00835574" w:rsidRPr="00835574" w14:paraId="66B8FF82"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7DD4F784"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G.</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Inversiones Financieras y Otras Provisiones</w:t>
            </w:r>
          </w:p>
        </w:tc>
        <w:tc>
          <w:tcPr>
            <w:tcW w:w="479" w:type="pct"/>
            <w:tcBorders>
              <w:top w:val="nil"/>
              <w:left w:val="single" w:sz="4" w:space="0" w:color="auto"/>
              <w:bottom w:val="nil"/>
              <w:right w:val="single" w:sz="4" w:space="0" w:color="auto"/>
            </w:tcBorders>
            <w:shd w:val="clear" w:color="000000" w:fill="FFFFFF"/>
            <w:noWrap/>
            <w:vAlign w:val="center"/>
            <w:hideMark/>
          </w:tcPr>
          <w:p w14:paraId="6E286CD3" w14:textId="2B161FFD"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1FE3CDD2" w14:textId="4B4A396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015BABD0" w14:textId="240B6BD7"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34DAF8B8" w14:textId="3865E41C"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4F84807D" w14:textId="118F107A"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3" w:type="pct"/>
            <w:tcBorders>
              <w:top w:val="nil"/>
              <w:left w:val="single" w:sz="4" w:space="0" w:color="auto"/>
              <w:bottom w:val="nil"/>
              <w:right w:val="single" w:sz="4" w:space="0" w:color="auto"/>
            </w:tcBorders>
            <w:shd w:val="clear" w:color="000000" w:fill="FFFFFF"/>
            <w:noWrap/>
            <w:vAlign w:val="center"/>
            <w:hideMark/>
          </w:tcPr>
          <w:p w14:paraId="294211FE" w14:textId="68870F1F"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r>
      <w:tr w:rsidR="00835574" w:rsidRPr="00835574" w14:paraId="33FF6D3D"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622F0DF1" w14:textId="205C0B6E"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H.</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Participaciones y Aportaciones</w:t>
            </w:r>
          </w:p>
        </w:tc>
        <w:tc>
          <w:tcPr>
            <w:tcW w:w="479" w:type="pct"/>
            <w:tcBorders>
              <w:top w:val="nil"/>
              <w:left w:val="single" w:sz="4" w:space="0" w:color="auto"/>
              <w:bottom w:val="nil"/>
              <w:right w:val="single" w:sz="4" w:space="0" w:color="auto"/>
            </w:tcBorders>
            <w:shd w:val="clear" w:color="000000" w:fill="FFFFFF"/>
            <w:noWrap/>
            <w:vAlign w:val="center"/>
            <w:hideMark/>
          </w:tcPr>
          <w:p w14:paraId="4236D016" w14:textId="5C20A45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4BD9A74B" w14:textId="0A69C6A6"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77F3D723" w14:textId="0A6D60DE"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60915352" w14:textId="5B21AEA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42366980" w14:textId="48CA0C7C"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3" w:type="pct"/>
            <w:tcBorders>
              <w:top w:val="nil"/>
              <w:left w:val="single" w:sz="4" w:space="0" w:color="auto"/>
              <w:bottom w:val="nil"/>
              <w:right w:val="single" w:sz="4" w:space="0" w:color="auto"/>
            </w:tcBorders>
            <w:shd w:val="clear" w:color="000000" w:fill="FFFFFF"/>
            <w:noWrap/>
            <w:vAlign w:val="center"/>
            <w:hideMark/>
          </w:tcPr>
          <w:p w14:paraId="3C7A1EE1" w14:textId="634550F7"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r>
      <w:tr w:rsidR="00835574" w:rsidRPr="00835574" w14:paraId="183E8703" w14:textId="77777777" w:rsidTr="00E42435">
        <w:trPr>
          <w:trHeight w:val="225"/>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690E8C48"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I.</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Deuda Pública</w:t>
            </w:r>
          </w:p>
        </w:tc>
        <w:tc>
          <w:tcPr>
            <w:tcW w:w="479" w:type="pct"/>
            <w:tcBorders>
              <w:top w:val="nil"/>
              <w:left w:val="single" w:sz="4" w:space="0" w:color="auto"/>
              <w:bottom w:val="nil"/>
              <w:right w:val="single" w:sz="4" w:space="0" w:color="auto"/>
            </w:tcBorders>
            <w:shd w:val="clear" w:color="000000" w:fill="FFFFFF"/>
            <w:noWrap/>
            <w:vAlign w:val="center"/>
            <w:hideMark/>
          </w:tcPr>
          <w:p w14:paraId="6E289F2A" w14:textId="3410631B"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197.22</w:t>
            </w:r>
          </w:p>
        </w:tc>
        <w:tc>
          <w:tcPr>
            <w:tcW w:w="491" w:type="pct"/>
            <w:tcBorders>
              <w:top w:val="nil"/>
              <w:left w:val="single" w:sz="4" w:space="0" w:color="auto"/>
              <w:bottom w:val="nil"/>
              <w:right w:val="single" w:sz="4" w:space="0" w:color="auto"/>
            </w:tcBorders>
            <w:shd w:val="clear" w:color="000000" w:fill="FFFFFF"/>
            <w:noWrap/>
            <w:vAlign w:val="center"/>
            <w:hideMark/>
          </w:tcPr>
          <w:p w14:paraId="276EF583" w14:textId="44F74F1F"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203.14</w:t>
            </w:r>
          </w:p>
        </w:tc>
        <w:tc>
          <w:tcPr>
            <w:tcW w:w="491" w:type="pct"/>
            <w:tcBorders>
              <w:top w:val="nil"/>
              <w:left w:val="single" w:sz="4" w:space="0" w:color="auto"/>
              <w:bottom w:val="nil"/>
              <w:right w:val="single" w:sz="4" w:space="0" w:color="auto"/>
            </w:tcBorders>
            <w:shd w:val="clear" w:color="000000" w:fill="FFFFFF"/>
            <w:noWrap/>
            <w:vAlign w:val="center"/>
            <w:hideMark/>
          </w:tcPr>
          <w:p w14:paraId="66CD61C1" w14:textId="34B1ED8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209.23</w:t>
            </w:r>
          </w:p>
        </w:tc>
        <w:tc>
          <w:tcPr>
            <w:tcW w:w="491" w:type="pct"/>
            <w:tcBorders>
              <w:top w:val="nil"/>
              <w:left w:val="single" w:sz="4" w:space="0" w:color="auto"/>
              <w:bottom w:val="nil"/>
              <w:right w:val="single" w:sz="4" w:space="0" w:color="auto"/>
            </w:tcBorders>
            <w:shd w:val="clear" w:color="000000" w:fill="FFFFFF"/>
            <w:noWrap/>
            <w:vAlign w:val="center"/>
            <w:hideMark/>
          </w:tcPr>
          <w:p w14:paraId="702C07AC" w14:textId="755172A4"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215.51</w:t>
            </w:r>
          </w:p>
        </w:tc>
        <w:tc>
          <w:tcPr>
            <w:tcW w:w="491" w:type="pct"/>
            <w:tcBorders>
              <w:top w:val="nil"/>
              <w:left w:val="single" w:sz="4" w:space="0" w:color="auto"/>
              <w:bottom w:val="nil"/>
              <w:right w:val="single" w:sz="4" w:space="0" w:color="auto"/>
            </w:tcBorders>
            <w:shd w:val="clear" w:color="000000" w:fill="FFFFFF"/>
            <w:noWrap/>
            <w:vAlign w:val="center"/>
            <w:hideMark/>
          </w:tcPr>
          <w:p w14:paraId="642F342A" w14:textId="548F5821"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221.97</w:t>
            </w:r>
          </w:p>
        </w:tc>
        <w:tc>
          <w:tcPr>
            <w:tcW w:w="493" w:type="pct"/>
            <w:tcBorders>
              <w:top w:val="nil"/>
              <w:left w:val="single" w:sz="4" w:space="0" w:color="auto"/>
              <w:bottom w:val="nil"/>
              <w:right w:val="single" w:sz="4" w:space="0" w:color="auto"/>
            </w:tcBorders>
            <w:shd w:val="clear" w:color="000000" w:fill="FFFFFF"/>
            <w:noWrap/>
            <w:vAlign w:val="center"/>
            <w:hideMark/>
          </w:tcPr>
          <w:p w14:paraId="01F111A5" w14:textId="792EE0CF"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228.63</w:t>
            </w:r>
          </w:p>
        </w:tc>
      </w:tr>
      <w:tr w:rsidR="00835574" w:rsidRPr="00835574" w14:paraId="17CD1B80"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31CE4E0B" w14:textId="16735A64" w:rsidR="0002559D" w:rsidRPr="0002559D" w:rsidRDefault="0002559D" w:rsidP="0002559D">
            <w:pPr>
              <w:rPr>
                <w:rFonts w:ascii="Arial" w:eastAsia="Times New Roman" w:hAnsi="Arial" w:cs="Arial"/>
                <w:sz w:val="12"/>
                <w:szCs w:val="12"/>
                <w:lang w:val="es-419" w:eastAsia="es-419"/>
              </w:rPr>
            </w:pPr>
          </w:p>
        </w:tc>
        <w:tc>
          <w:tcPr>
            <w:tcW w:w="479" w:type="pct"/>
            <w:tcBorders>
              <w:top w:val="nil"/>
              <w:left w:val="single" w:sz="4" w:space="0" w:color="auto"/>
              <w:bottom w:val="nil"/>
              <w:right w:val="single" w:sz="4" w:space="0" w:color="auto"/>
            </w:tcBorders>
            <w:shd w:val="clear" w:color="000000" w:fill="FFFFFF"/>
            <w:noWrap/>
            <w:vAlign w:val="center"/>
            <w:hideMark/>
          </w:tcPr>
          <w:p w14:paraId="5294BF35" w14:textId="625F6519" w:rsidR="0002559D" w:rsidRPr="0002559D" w:rsidRDefault="0002559D" w:rsidP="0002559D">
            <w:pPr>
              <w:jc w:val="right"/>
              <w:rPr>
                <w:rFonts w:ascii="Arial" w:eastAsia="Times New Roman" w:hAnsi="Arial" w:cs="Arial"/>
                <w:sz w:val="12"/>
                <w:szCs w:val="12"/>
                <w:lang w:val="es-419" w:eastAsia="es-419"/>
              </w:rPr>
            </w:pPr>
          </w:p>
        </w:tc>
        <w:tc>
          <w:tcPr>
            <w:tcW w:w="491" w:type="pct"/>
            <w:tcBorders>
              <w:top w:val="nil"/>
              <w:left w:val="single" w:sz="4" w:space="0" w:color="auto"/>
              <w:bottom w:val="nil"/>
              <w:right w:val="single" w:sz="4" w:space="0" w:color="auto"/>
            </w:tcBorders>
            <w:shd w:val="clear" w:color="000000" w:fill="FFFFFF"/>
            <w:noWrap/>
            <w:vAlign w:val="center"/>
            <w:hideMark/>
          </w:tcPr>
          <w:p w14:paraId="2F782B79" w14:textId="00B667D2" w:rsidR="0002559D" w:rsidRPr="0002559D" w:rsidRDefault="0002559D" w:rsidP="0002559D">
            <w:pPr>
              <w:jc w:val="right"/>
              <w:rPr>
                <w:rFonts w:ascii="Arial" w:eastAsia="Times New Roman" w:hAnsi="Arial" w:cs="Arial"/>
                <w:sz w:val="12"/>
                <w:szCs w:val="12"/>
                <w:lang w:val="es-419" w:eastAsia="es-419"/>
              </w:rPr>
            </w:pPr>
          </w:p>
        </w:tc>
        <w:tc>
          <w:tcPr>
            <w:tcW w:w="491" w:type="pct"/>
            <w:tcBorders>
              <w:top w:val="nil"/>
              <w:left w:val="single" w:sz="4" w:space="0" w:color="auto"/>
              <w:bottom w:val="nil"/>
              <w:right w:val="single" w:sz="4" w:space="0" w:color="auto"/>
            </w:tcBorders>
            <w:shd w:val="clear" w:color="000000" w:fill="FFFFFF"/>
            <w:noWrap/>
            <w:vAlign w:val="center"/>
            <w:hideMark/>
          </w:tcPr>
          <w:p w14:paraId="302884EB" w14:textId="70B9A0CD" w:rsidR="0002559D" w:rsidRPr="0002559D" w:rsidRDefault="0002559D" w:rsidP="0002559D">
            <w:pPr>
              <w:jc w:val="right"/>
              <w:rPr>
                <w:rFonts w:ascii="Arial" w:eastAsia="Times New Roman" w:hAnsi="Arial" w:cs="Arial"/>
                <w:sz w:val="12"/>
                <w:szCs w:val="12"/>
                <w:lang w:val="es-419" w:eastAsia="es-419"/>
              </w:rPr>
            </w:pPr>
          </w:p>
        </w:tc>
        <w:tc>
          <w:tcPr>
            <w:tcW w:w="491" w:type="pct"/>
            <w:tcBorders>
              <w:top w:val="nil"/>
              <w:left w:val="single" w:sz="4" w:space="0" w:color="auto"/>
              <w:bottom w:val="nil"/>
              <w:right w:val="single" w:sz="4" w:space="0" w:color="auto"/>
            </w:tcBorders>
            <w:shd w:val="clear" w:color="000000" w:fill="FFFFFF"/>
            <w:noWrap/>
            <w:vAlign w:val="center"/>
            <w:hideMark/>
          </w:tcPr>
          <w:p w14:paraId="1D7FFB8C" w14:textId="1C5ADD8D" w:rsidR="0002559D" w:rsidRPr="0002559D" w:rsidRDefault="0002559D" w:rsidP="0002559D">
            <w:pPr>
              <w:jc w:val="right"/>
              <w:rPr>
                <w:rFonts w:ascii="Arial" w:eastAsia="Times New Roman" w:hAnsi="Arial" w:cs="Arial"/>
                <w:sz w:val="12"/>
                <w:szCs w:val="12"/>
                <w:lang w:val="es-419" w:eastAsia="es-419"/>
              </w:rPr>
            </w:pPr>
          </w:p>
        </w:tc>
        <w:tc>
          <w:tcPr>
            <w:tcW w:w="491" w:type="pct"/>
            <w:tcBorders>
              <w:top w:val="nil"/>
              <w:left w:val="single" w:sz="4" w:space="0" w:color="auto"/>
              <w:bottom w:val="nil"/>
              <w:right w:val="single" w:sz="4" w:space="0" w:color="auto"/>
            </w:tcBorders>
            <w:shd w:val="clear" w:color="000000" w:fill="FFFFFF"/>
            <w:noWrap/>
            <w:vAlign w:val="center"/>
            <w:hideMark/>
          </w:tcPr>
          <w:p w14:paraId="51E1EAF9" w14:textId="64F219A6" w:rsidR="0002559D" w:rsidRPr="0002559D" w:rsidRDefault="0002559D" w:rsidP="0002559D">
            <w:pPr>
              <w:jc w:val="right"/>
              <w:rPr>
                <w:rFonts w:ascii="Arial" w:eastAsia="Times New Roman" w:hAnsi="Arial" w:cs="Arial"/>
                <w:sz w:val="12"/>
                <w:szCs w:val="12"/>
                <w:lang w:val="es-419" w:eastAsia="es-419"/>
              </w:rPr>
            </w:pPr>
          </w:p>
        </w:tc>
        <w:tc>
          <w:tcPr>
            <w:tcW w:w="493" w:type="pct"/>
            <w:tcBorders>
              <w:top w:val="nil"/>
              <w:left w:val="single" w:sz="4" w:space="0" w:color="auto"/>
              <w:bottom w:val="nil"/>
              <w:right w:val="single" w:sz="4" w:space="0" w:color="auto"/>
            </w:tcBorders>
            <w:shd w:val="clear" w:color="000000" w:fill="FFFFFF"/>
            <w:noWrap/>
            <w:vAlign w:val="center"/>
            <w:hideMark/>
          </w:tcPr>
          <w:p w14:paraId="63002660" w14:textId="36CEF4AF" w:rsidR="0002559D" w:rsidRPr="0002559D" w:rsidRDefault="0002559D" w:rsidP="0002559D">
            <w:pPr>
              <w:jc w:val="right"/>
              <w:rPr>
                <w:rFonts w:ascii="Arial" w:eastAsia="Times New Roman" w:hAnsi="Arial" w:cs="Arial"/>
                <w:sz w:val="12"/>
                <w:szCs w:val="12"/>
                <w:lang w:val="es-419" w:eastAsia="es-419"/>
              </w:rPr>
            </w:pPr>
          </w:p>
        </w:tc>
      </w:tr>
      <w:tr w:rsidR="00835574" w:rsidRPr="00835574" w14:paraId="1AF0FC3B"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32A4C32F" w14:textId="77777777" w:rsidR="0002559D" w:rsidRPr="0002559D" w:rsidRDefault="0002559D" w:rsidP="0002559D">
            <w:pPr>
              <w:rPr>
                <w:rFonts w:ascii="Arial" w:eastAsia="Times New Roman" w:hAnsi="Arial" w:cs="Arial"/>
                <w:b/>
                <w:bCs/>
                <w:sz w:val="12"/>
                <w:szCs w:val="12"/>
                <w:lang w:val="es-419" w:eastAsia="es-419"/>
              </w:rPr>
            </w:pPr>
            <w:r w:rsidRPr="0002559D">
              <w:rPr>
                <w:rFonts w:ascii="Arial" w:eastAsia="Times New Roman" w:hAnsi="Arial" w:cs="Arial"/>
                <w:b/>
                <w:bCs/>
                <w:sz w:val="12"/>
                <w:szCs w:val="12"/>
                <w:lang w:val="es-419" w:eastAsia="es-419"/>
              </w:rPr>
              <w:t>2.</w:t>
            </w:r>
            <w:r w:rsidRPr="0002559D">
              <w:rPr>
                <w:rFonts w:ascii="Times New Roman" w:eastAsia="Times New Roman" w:hAnsi="Times New Roman" w:cs="Times New Roman"/>
                <w:b/>
                <w:bCs/>
                <w:sz w:val="14"/>
                <w:szCs w:val="14"/>
                <w:lang w:val="es-419" w:eastAsia="es-419"/>
              </w:rPr>
              <w:t xml:space="preserve">  </w:t>
            </w:r>
            <w:r w:rsidRPr="0002559D">
              <w:rPr>
                <w:rFonts w:ascii="Arial" w:eastAsia="Times New Roman" w:hAnsi="Arial" w:cs="Arial"/>
                <w:b/>
                <w:bCs/>
                <w:sz w:val="12"/>
                <w:szCs w:val="12"/>
                <w:lang w:val="es-419" w:eastAsia="es-419"/>
              </w:rPr>
              <w:t>Gasto Etiquetado (2=A+B+C+D+E+F+G+H+I)</w:t>
            </w:r>
          </w:p>
        </w:tc>
        <w:tc>
          <w:tcPr>
            <w:tcW w:w="479" w:type="pct"/>
            <w:tcBorders>
              <w:top w:val="nil"/>
              <w:left w:val="single" w:sz="4" w:space="0" w:color="auto"/>
              <w:bottom w:val="nil"/>
              <w:right w:val="single" w:sz="4" w:space="0" w:color="auto"/>
            </w:tcBorders>
            <w:shd w:val="clear" w:color="000000" w:fill="FFFFFF"/>
            <w:noWrap/>
            <w:vAlign w:val="center"/>
            <w:hideMark/>
          </w:tcPr>
          <w:p w14:paraId="75E0B910" w14:textId="228BBD26"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65,873.53</w:t>
            </w:r>
          </w:p>
        </w:tc>
        <w:tc>
          <w:tcPr>
            <w:tcW w:w="491" w:type="pct"/>
            <w:tcBorders>
              <w:top w:val="nil"/>
              <w:left w:val="single" w:sz="4" w:space="0" w:color="auto"/>
              <w:bottom w:val="nil"/>
              <w:right w:val="single" w:sz="4" w:space="0" w:color="auto"/>
            </w:tcBorders>
            <w:shd w:val="clear" w:color="000000" w:fill="FFFFFF"/>
            <w:noWrap/>
            <w:vAlign w:val="center"/>
            <w:hideMark/>
          </w:tcPr>
          <w:p w14:paraId="49289698" w14:textId="7C68CAC5"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67,849.73</w:t>
            </w:r>
          </w:p>
        </w:tc>
        <w:tc>
          <w:tcPr>
            <w:tcW w:w="491" w:type="pct"/>
            <w:tcBorders>
              <w:top w:val="nil"/>
              <w:left w:val="single" w:sz="4" w:space="0" w:color="auto"/>
              <w:bottom w:val="nil"/>
              <w:right w:val="single" w:sz="4" w:space="0" w:color="auto"/>
            </w:tcBorders>
            <w:shd w:val="clear" w:color="000000" w:fill="FFFFFF"/>
            <w:noWrap/>
            <w:vAlign w:val="center"/>
            <w:hideMark/>
          </w:tcPr>
          <w:p w14:paraId="352621C2" w14:textId="08286052"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69,885.23</w:t>
            </w:r>
          </w:p>
        </w:tc>
        <w:tc>
          <w:tcPr>
            <w:tcW w:w="491" w:type="pct"/>
            <w:tcBorders>
              <w:top w:val="nil"/>
              <w:left w:val="single" w:sz="4" w:space="0" w:color="auto"/>
              <w:bottom w:val="nil"/>
              <w:right w:val="single" w:sz="4" w:space="0" w:color="auto"/>
            </w:tcBorders>
            <w:shd w:val="clear" w:color="000000" w:fill="FFFFFF"/>
            <w:noWrap/>
            <w:vAlign w:val="center"/>
            <w:hideMark/>
          </w:tcPr>
          <w:p w14:paraId="12E9CF78" w14:textId="7FD3654B"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71,981.78</w:t>
            </w:r>
          </w:p>
        </w:tc>
        <w:tc>
          <w:tcPr>
            <w:tcW w:w="491" w:type="pct"/>
            <w:tcBorders>
              <w:top w:val="nil"/>
              <w:left w:val="single" w:sz="4" w:space="0" w:color="auto"/>
              <w:bottom w:val="nil"/>
              <w:right w:val="single" w:sz="4" w:space="0" w:color="auto"/>
            </w:tcBorders>
            <w:shd w:val="clear" w:color="000000" w:fill="FFFFFF"/>
            <w:noWrap/>
            <w:vAlign w:val="center"/>
            <w:hideMark/>
          </w:tcPr>
          <w:p w14:paraId="2EC8E6B7" w14:textId="552C6775"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74,141.24</w:t>
            </w:r>
          </w:p>
        </w:tc>
        <w:tc>
          <w:tcPr>
            <w:tcW w:w="493" w:type="pct"/>
            <w:tcBorders>
              <w:top w:val="nil"/>
              <w:left w:val="single" w:sz="4" w:space="0" w:color="auto"/>
              <w:bottom w:val="nil"/>
              <w:right w:val="single" w:sz="4" w:space="0" w:color="auto"/>
            </w:tcBorders>
            <w:shd w:val="clear" w:color="000000" w:fill="FFFFFF"/>
            <w:noWrap/>
            <w:vAlign w:val="center"/>
            <w:hideMark/>
          </w:tcPr>
          <w:p w14:paraId="6C47D631" w14:textId="7A6EE56E"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76,365.47</w:t>
            </w:r>
          </w:p>
        </w:tc>
      </w:tr>
      <w:tr w:rsidR="00835574" w:rsidRPr="00835574" w14:paraId="1DCE5587"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2A09229A"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A.</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Servicios Personales</w:t>
            </w:r>
          </w:p>
        </w:tc>
        <w:tc>
          <w:tcPr>
            <w:tcW w:w="479" w:type="pct"/>
            <w:tcBorders>
              <w:top w:val="nil"/>
              <w:left w:val="single" w:sz="4" w:space="0" w:color="auto"/>
              <w:bottom w:val="nil"/>
              <w:right w:val="single" w:sz="4" w:space="0" w:color="auto"/>
            </w:tcBorders>
            <w:shd w:val="clear" w:color="000000" w:fill="FFFFFF"/>
            <w:noWrap/>
            <w:vAlign w:val="center"/>
            <w:hideMark/>
          </w:tcPr>
          <w:p w14:paraId="3B812624" w14:textId="2CB65FA6"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64A115C2" w14:textId="3054F606"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12CC95C9" w14:textId="2B4AAC41"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4D9AFF7C" w14:textId="3E4BE6F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4E480C1E" w14:textId="75B1C9CE"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3" w:type="pct"/>
            <w:tcBorders>
              <w:top w:val="nil"/>
              <w:left w:val="single" w:sz="4" w:space="0" w:color="auto"/>
              <w:bottom w:val="nil"/>
              <w:right w:val="single" w:sz="4" w:space="0" w:color="auto"/>
            </w:tcBorders>
            <w:shd w:val="clear" w:color="000000" w:fill="FFFFFF"/>
            <w:noWrap/>
            <w:vAlign w:val="center"/>
            <w:hideMark/>
          </w:tcPr>
          <w:p w14:paraId="3D05AD18" w14:textId="19D5A1CE"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r>
      <w:tr w:rsidR="00835574" w:rsidRPr="00835574" w14:paraId="01242BD8"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0FB3CD6D"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B.</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Materiales y Suministros</w:t>
            </w:r>
          </w:p>
        </w:tc>
        <w:tc>
          <w:tcPr>
            <w:tcW w:w="479" w:type="pct"/>
            <w:tcBorders>
              <w:top w:val="nil"/>
              <w:left w:val="single" w:sz="4" w:space="0" w:color="auto"/>
              <w:bottom w:val="nil"/>
              <w:right w:val="single" w:sz="4" w:space="0" w:color="auto"/>
            </w:tcBorders>
            <w:shd w:val="clear" w:color="000000" w:fill="FFFFFF"/>
            <w:noWrap/>
            <w:vAlign w:val="center"/>
            <w:hideMark/>
          </w:tcPr>
          <w:p w14:paraId="7FDC769B" w14:textId="157E303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4.47</w:t>
            </w:r>
          </w:p>
        </w:tc>
        <w:tc>
          <w:tcPr>
            <w:tcW w:w="491" w:type="pct"/>
            <w:tcBorders>
              <w:top w:val="nil"/>
              <w:left w:val="single" w:sz="4" w:space="0" w:color="auto"/>
              <w:bottom w:val="nil"/>
              <w:right w:val="single" w:sz="4" w:space="0" w:color="auto"/>
            </w:tcBorders>
            <w:shd w:val="clear" w:color="000000" w:fill="FFFFFF"/>
            <w:noWrap/>
            <w:vAlign w:val="center"/>
            <w:hideMark/>
          </w:tcPr>
          <w:p w14:paraId="47BF185C" w14:textId="5AA105D2"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4.61</w:t>
            </w:r>
          </w:p>
        </w:tc>
        <w:tc>
          <w:tcPr>
            <w:tcW w:w="491" w:type="pct"/>
            <w:tcBorders>
              <w:top w:val="nil"/>
              <w:left w:val="single" w:sz="4" w:space="0" w:color="auto"/>
              <w:bottom w:val="nil"/>
              <w:right w:val="single" w:sz="4" w:space="0" w:color="auto"/>
            </w:tcBorders>
            <w:shd w:val="clear" w:color="000000" w:fill="FFFFFF"/>
            <w:noWrap/>
            <w:vAlign w:val="center"/>
            <w:hideMark/>
          </w:tcPr>
          <w:p w14:paraId="09166B99" w14:textId="552FFB3C"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4.75</w:t>
            </w:r>
          </w:p>
        </w:tc>
        <w:tc>
          <w:tcPr>
            <w:tcW w:w="491" w:type="pct"/>
            <w:tcBorders>
              <w:top w:val="nil"/>
              <w:left w:val="single" w:sz="4" w:space="0" w:color="auto"/>
              <w:bottom w:val="nil"/>
              <w:right w:val="single" w:sz="4" w:space="0" w:color="auto"/>
            </w:tcBorders>
            <w:shd w:val="clear" w:color="000000" w:fill="FFFFFF"/>
            <w:noWrap/>
            <w:vAlign w:val="center"/>
            <w:hideMark/>
          </w:tcPr>
          <w:p w14:paraId="3C2A8ED2" w14:textId="4352B463"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4.89</w:t>
            </w:r>
          </w:p>
        </w:tc>
        <w:tc>
          <w:tcPr>
            <w:tcW w:w="491" w:type="pct"/>
            <w:tcBorders>
              <w:top w:val="nil"/>
              <w:left w:val="single" w:sz="4" w:space="0" w:color="auto"/>
              <w:bottom w:val="nil"/>
              <w:right w:val="single" w:sz="4" w:space="0" w:color="auto"/>
            </w:tcBorders>
            <w:shd w:val="clear" w:color="000000" w:fill="FFFFFF"/>
            <w:noWrap/>
            <w:vAlign w:val="center"/>
            <w:hideMark/>
          </w:tcPr>
          <w:p w14:paraId="47B5D7A5" w14:textId="48498906"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5.04</w:t>
            </w:r>
          </w:p>
        </w:tc>
        <w:tc>
          <w:tcPr>
            <w:tcW w:w="493" w:type="pct"/>
            <w:tcBorders>
              <w:top w:val="nil"/>
              <w:left w:val="single" w:sz="4" w:space="0" w:color="auto"/>
              <w:bottom w:val="nil"/>
              <w:right w:val="single" w:sz="4" w:space="0" w:color="auto"/>
            </w:tcBorders>
            <w:shd w:val="clear" w:color="000000" w:fill="FFFFFF"/>
            <w:noWrap/>
            <w:vAlign w:val="center"/>
            <w:hideMark/>
          </w:tcPr>
          <w:p w14:paraId="261EA81D" w14:textId="3C2EA55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5.19</w:t>
            </w:r>
          </w:p>
        </w:tc>
      </w:tr>
      <w:tr w:rsidR="00835574" w:rsidRPr="00835574" w14:paraId="712C52B4"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63B29FA2"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C.</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Servicios Generales</w:t>
            </w:r>
          </w:p>
        </w:tc>
        <w:tc>
          <w:tcPr>
            <w:tcW w:w="479" w:type="pct"/>
            <w:tcBorders>
              <w:top w:val="nil"/>
              <w:left w:val="single" w:sz="4" w:space="0" w:color="auto"/>
              <w:bottom w:val="nil"/>
              <w:right w:val="single" w:sz="4" w:space="0" w:color="auto"/>
            </w:tcBorders>
            <w:shd w:val="clear" w:color="000000" w:fill="FFFFFF"/>
            <w:noWrap/>
            <w:vAlign w:val="center"/>
            <w:hideMark/>
          </w:tcPr>
          <w:p w14:paraId="56A30376" w14:textId="0D2DD83E"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46C8A39A" w14:textId="0D3506B2"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1A392DB4" w14:textId="4F50C582"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1E9B154E" w14:textId="251FADA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3E8D0CAE" w14:textId="3B4E9F1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3" w:type="pct"/>
            <w:tcBorders>
              <w:top w:val="nil"/>
              <w:left w:val="single" w:sz="4" w:space="0" w:color="auto"/>
              <w:bottom w:val="nil"/>
              <w:right w:val="single" w:sz="4" w:space="0" w:color="auto"/>
            </w:tcBorders>
            <w:shd w:val="clear" w:color="000000" w:fill="FFFFFF"/>
            <w:noWrap/>
            <w:vAlign w:val="center"/>
            <w:hideMark/>
          </w:tcPr>
          <w:p w14:paraId="442C43A8" w14:textId="1DACC60E"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r>
      <w:tr w:rsidR="00835574" w:rsidRPr="00835574" w14:paraId="7AAFF5F2"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4C6DB8F4"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D.</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Transferencias, Asignaciones, Subsidios y Otras Ayudas</w:t>
            </w:r>
          </w:p>
        </w:tc>
        <w:tc>
          <w:tcPr>
            <w:tcW w:w="479" w:type="pct"/>
            <w:tcBorders>
              <w:top w:val="nil"/>
              <w:left w:val="single" w:sz="4" w:space="0" w:color="auto"/>
              <w:bottom w:val="nil"/>
              <w:right w:val="single" w:sz="4" w:space="0" w:color="auto"/>
            </w:tcBorders>
            <w:shd w:val="clear" w:color="000000" w:fill="FFFFFF"/>
            <w:noWrap/>
            <w:vAlign w:val="center"/>
            <w:hideMark/>
          </w:tcPr>
          <w:p w14:paraId="285D4255" w14:textId="397FD6E1"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40,214.07</w:t>
            </w:r>
          </w:p>
        </w:tc>
        <w:tc>
          <w:tcPr>
            <w:tcW w:w="491" w:type="pct"/>
            <w:tcBorders>
              <w:top w:val="nil"/>
              <w:left w:val="single" w:sz="4" w:space="0" w:color="auto"/>
              <w:bottom w:val="nil"/>
              <w:right w:val="single" w:sz="4" w:space="0" w:color="auto"/>
            </w:tcBorders>
            <w:shd w:val="clear" w:color="000000" w:fill="FFFFFF"/>
            <w:noWrap/>
            <w:vAlign w:val="center"/>
            <w:hideMark/>
          </w:tcPr>
          <w:p w14:paraId="1CC67A9E" w14:textId="11FF9453"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41,420.49</w:t>
            </w:r>
          </w:p>
        </w:tc>
        <w:tc>
          <w:tcPr>
            <w:tcW w:w="491" w:type="pct"/>
            <w:tcBorders>
              <w:top w:val="nil"/>
              <w:left w:val="single" w:sz="4" w:space="0" w:color="auto"/>
              <w:bottom w:val="nil"/>
              <w:right w:val="single" w:sz="4" w:space="0" w:color="auto"/>
            </w:tcBorders>
            <w:shd w:val="clear" w:color="000000" w:fill="FFFFFF"/>
            <w:noWrap/>
            <w:vAlign w:val="center"/>
            <w:hideMark/>
          </w:tcPr>
          <w:p w14:paraId="055ABAAC" w14:textId="6D2B545D"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42,663.11</w:t>
            </w:r>
          </w:p>
        </w:tc>
        <w:tc>
          <w:tcPr>
            <w:tcW w:w="491" w:type="pct"/>
            <w:tcBorders>
              <w:top w:val="nil"/>
              <w:left w:val="single" w:sz="4" w:space="0" w:color="auto"/>
              <w:bottom w:val="nil"/>
              <w:right w:val="single" w:sz="4" w:space="0" w:color="auto"/>
            </w:tcBorders>
            <w:shd w:val="clear" w:color="000000" w:fill="FFFFFF"/>
            <w:noWrap/>
            <w:vAlign w:val="center"/>
            <w:hideMark/>
          </w:tcPr>
          <w:p w14:paraId="04B7FF9A" w14:textId="51ACD79B"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43,943.00</w:t>
            </w:r>
          </w:p>
        </w:tc>
        <w:tc>
          <w:tcPr>
            <w:tcW w:w="491" w:type="pct"/>
            <w:tcBorders>
              <w:top w:val="nil"/>
              <w:left w:val="single" w:sz="4" w:space="0" w:color="auto"/>
              <w:bottom w:val="nil"/>
              <w:right w:val="single" w:sz="4" w:space="0" w:color="auto"/>
            </w:tcBorders>
            <w:shd w:val="clear" w:color="000000" w:fill="FFFFFF"/>
            <w:noWrap/>
            <w:vAlign w:val="center"/>
            <w:hideMark/>
          </w:tcPr>
          <w:p w14:paraId="21D56361" w14:textId="79DFD09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45,261.29</w:t>
            </w:r>
          </w:p>
        </w:tc>
        <w:tc>
          <w:tcPr>
            <w:tcW w:w="493" w:type="pct"/>
            <w:tcBorders>
              <w:top w:val="nil"/>
              <w:left w:val="single" w:sz="4" w:space="0" w:color="auto"/>
              <w:bottom w:val="nil"/>
              <w:right w:val="single" w:sz="4" w:space="0" w:color="auto"/>
            </w:tcBorders>
            <w:shd w:val="clear" w:color="000000" w:fill="FFFFFF"/>
            <w:noWrap/>
            <w:vAlign w:val="center"/>
            <w:hideMark/>
          </w:tcPr>
          <w:p w14:paraId="12524F11" w14:textId="4FE882B3"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46,619.13</w:t>
            </w:r>
          </w:p>
        </w:tc>
      </w:tr>
      <w:tr w:rsidR="00835574" w:rsidRPr="00835574" w14:paraId="46A226CF"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4B7B3CA6"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E.</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Bienes Muebles, Inmuebles e Intangibles</w:t>
            </w:r>
          </w:p>
        </w:tc>
        <w:tc>
          <w:tcPr>
            <w:tcW w:w="479" w:type="pct"/>
            <w:tcBorders>
              <w:top w:val="nil"/>
              <w:left w:val="single" w:sz="4" w:space="0" w:color="auto"/>
              <w:bottom w:val="nil"/>
              <w:right w:val="single" w:sz="4" w:space="0" w:color="auto"/>
            </w:tcBorders>
            <w:shd w:val="clear" w:color="000000" w:fill="FFFFFF"/>
            <w:noWrap/>
            <w:vAlign w:val="center"/>
            <w:hideMark/>
          </w:tcPr>
          <w:p w14:paraId="51D29055" w14:textId="3E90D0DE"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130.97</w:t>
            </w:r>
          </w:p>
        </w:tc>
        <w:tc>
          <w:tcPr>
            <w:tcW w:w="491" w:type="pct"/>
            <w:tcBorders>
              <w:top w:val="nil"/>
              <w:left w:val="single" w:sz="4" w:space="0" w:color="auto"/>
              <w:bottom w:val="nil"/>
              <w:right w:val="single" w:sz="4" w:space="0" w:color="auto"/>
            </w:tcBorders>
            <w:shd w:val="clear" w:color="000000" w:fill="FFFFFF"/>
            <w:noWrap/>
            <w:vAlign w:val="center"/>
            <w:hideMark/>
          </w:tcPr>
          <w:p w14:paraId="15F7F987" w14:textId="0930CA4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134.90</w:t>
            </w:r>
          </w:p>
        </w:tc>
        <w:tc>
          <w:tcPr>
            <w:tcW w:w="491" w:type="pct"/>
            <w:tcBorders>
              <w:top w:val="nil"/>
              <w:left w:val="single" w:sz="4" w:space="0" w:color="auto"/>
              <w:bottom w:val="nil"/>
              <w:right w:val="single" w:sz="4" w:space="0" w:color="auto"/>
            </w:tcBorders>
            <w:shd w:val="clear" w:color="000000" w:fill="FFFFFF"/>
            <w:noWrap/>
            <w:vAlign w:val="center"/>
            <w:hideMark/>
          </w:tcPr>
          <w:p w14:paraId="652C720E" w14:textId="53835E9A"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138.94</w:t>
            </w:r>
          </w:p>
        </w:tc>
        <w:tc>
          <w:tcPr>
            <w:tcW w:w="491" w:type="pct"/>
            <w:tcBorders>
              <w:top w:val="nil"/>
              <w:left w:val="single" w:sz="4" w:space="0" w:color="auto"/>
              <w:bottom w:val="nil"/>
              <w:right w:val="single" w:sz="4" w:space="0" w:color="auto"/>
            </w:tcBorders>
            <w:shd w:val="clear" w:color="000000" w:fill="FFFFFF"/>
            <w:noWrap/>
            <w:vAlign w:val="center"/>
            <w:hideMark/>
          </w:tcPr>
          <w:p w14:paraId="75205DE5" w14:textId="7F831A12"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143.11</w:t>
            </w:r>
          </w:p>
        </w:tc>
        <w:tc>
          <w:tcPr>
            <w:tcW w:w="491" w:type="pct"/>
            <w:tcBorders>
              <w:top w:val="nil"/>
              <w:left w:val="single" w:sz="4" w:space="0" w:color="auto"/>
              <w:bottom w:val="nil"/>
              <w:right w:val="single" w:sz="4" w:space="0" w:color="auto"/>
            </w:tcBorders>
            <w:shd w:val="clear" w:color="000000" w:fill="FFFFFF"/>
            <w:noWrap/>
            <w:vAlign w:val="center"/>
            <w:hideMark/>
          </w:tcPr>
          <w:p w14:paraId="75BF2016" w14:textId="14A944E8"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147.41</w:t>
            </w:r>
          </w:p>
        </w:tc>
        <w:tc>
          <w:tcPr>
            <w:tcW w:w="493" w:type="pct"/>
            <w:tcBorders>
              <w:top w:val="nil"/>
              <w:left w:val="single" w:sz="4" w:space="0" w:color="auto"/>
              <w:bottom w:val="nil"/>
              <w:right w:val="single" w:sz="4" w:space="0" w:color="auto"/>
            </w:tcBorders>
            <w:shd w:val="clear" w:color="000000" w:fill="FFFFFF"/>
            <w:noWrap/>
            <w:vAlign w:val="center"/>
            <w:hideMark/>
          </w:tcPr>
          <w:p w14:paraId="403EDC9C" w14:textId="771D75C1"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151.83</w:t>
            </w:r>
          </w:p>
        </w:tc>
      </w:tr>
      <w:tr w:rsidR="00835574" w:rsidRPr="00835574" w14:paraId="290EEFC9"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55B7C0BE"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F.</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Inversión Pública</w:t>
            </w:r>
          </w:p>
        </w:tc>
        <w:tc>
          <w:tcPr>
            <w:tcW w:w="479" w:type="pct"/>
            <w:tcBorders>
              <w:top w:val="nil"/>
              <w:left w:val="single" w:sz="4" w:space="0" w:color="auto"/>
              <w:bottom w:val="nil"/>
              <w:right w:val="single" w:sz="4" w:space="0" w:color="auto"/>
            </w:tcBorders>
            <w:shd w:val="clear" w:color="000000" w:fill="FFFFFF"/>
            <w:noWrap/>
            <w:vAlign w:val="center"/>
            <w:hideMark/>
          </w:tcPr>
          <w:p w14:paraId="056A284C" w14:textId="3EBE9D90"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3,812.91</w:t>
            </w:r>
          </w:p>
        </w:tc>
        <w:tc>
          <w:tcPr>
            <w:tcW w:w="491" w:type="pct"/>
            <w:tcBorders>
              <w:top w:val="nil"/>
              <w:left w:val="single" w:sz="4" w:space="0" w:color="auto"/>
              <w:bottom w:val="nil"/>
              <w:right w:val="single" w:sz="4" w:space="0" w:color="auto"/>
            </w:tcBorders>
            <w:shd w:val="clear" w:color="000000" w:fill="FFFFFF"/>
            <w:noWrap/>
            <w:vAlign w:val="center"/>
            <w:hideMark/>
          </w:tcPr>
          <w:p w14:paraId="549894F8" w14:textId="3019ABC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3,927.29</w:t>
            </w:r>
          </w:p>
        </w:tc>
        <w:tc>
          <w:tcPr>
            <w:tcW w:w="491" w:type="pct"/>
            <w:tcBorders>
              <w:top w:val="nil"/>
              <w:left w:val="single" w:sz="4" w:space="0" w:color="auto"/>
              <w:bottom w:val="nil"/>
              <w:right w:val="single" w:sz="4" w:space="0" w:color="auto"/>
            </w:tcBorders>
            <w:shd w:val="clear" w:color="000000" w:fill="FFFFFF"/>
            <w:noWrap/>
            <w:vAlign w:val="center"/>
            <w:hideMark/>
          </w:tcPr>
          <w:p w14:paraId="7C97D21F" w14:textId="0C1BBA5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4,045.11</w:t>
            </w:r>
          </w:p>
        </w:tc>
        <w:tc>
          <w:tcPr>
            <w:tcW w:w="491" w:type="pct"/>
            <w:tcBorders>
              <w:top w:val="nil"/>
              <w:left w:val="single" w:sz="4" w:space="0" w:color="auto"/>
              <w:bottom w:val="nil"/>
              <w:right w:val="single" w:sz="4" w:space="0" w:color="auto"/>
            </w:tcBorders>
            <w:shd w:val="clear" w:color="000000" w:fill="FFFFFF"/>
            <w:noWrap/>
            <w:vAlign w:val="center"/>
            <w:hideMark/>
          </w:tcPr>
          <w:p w14:paraId="6764DBE8" w14:textId="7B933D4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4,166.47</w:t>
            </w:r>
          </w:p>
        </w:tc>
        <w:tc>
          <w:tcPr>
            <w:tcW w:w="491" w:type="pct"/>
            <w:tcBorders>
              <w:top w:val="nil"/>
              <w:left w:val="single" w:sz="4" w:space="0" w:color="auto"/>
              <w:bottom w:val="nil"/>
              <w:right w:val="single" w:sz="4" w:space="0" w:color="auto"/>
            </w:tcBorders>
            <w:shd w:val="clear" w:color="000000" w:fill="FFFFFF"/>
            <w:noWrap/>
            <w:vAlign w:val="center"/>
            <w:hideMark/>
          </w:tcPr>
          <w:p w14:paraId="23553BCF" w14:textId="242BAAC1"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4,291.46</w:t>
            </w:r>
          </w:p>
        </w:tc>
        <w:tc>
          <w:tcPr>
            <w:tcW w:w="493" w:type="pct"/>
            <w:tcBorders>
              <w:top w:val="nil"/>
              <w:left w:val="single" w:sz="4" w:space="0" w:color="auto"/>
              <w:bottom w:val="nil"/>
              <w:right w:val="single" w:sz="4" w:space="0" w:color="auto"/>
            </w:tcBorders>
            <w:shd w:val="clear" w:color="000000" w:fill="FFFFFF"/>
            <w:noWrap/>
            <w:vAlign w:val="center"/>
            <w:hideMark/>
          </w:tcPr>
          <w:p w14:paraId="17E43697" w14:textId="21083F9F"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4,420.20</w:t>
            </w:r>
          </w:p>
        </w:tc>
      </w:tr>
      <w:tr w:rsidR="00835574" w:rsidRPr="00835574" w14:paraId="38610D7E"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3D11BCF3"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G.</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Inversiones Financieras y Otras Provisiones</w:t>
            </w:r>
          </w:p>
        </w:tc>
        <w:tc>
          <w:tcPr>
            <w:tcW w:w="479" w:type="pct"/>
            <w:tcBorders>
              <w:top w:val="nil"/>
              <w:left w:val="single" w:sz="4" w:space="0" w:color="auto"/>
              <w:bottom w:val="nil"/>
              <w:right w:val="single" w:sz="4" w:space="0" w:color="auto"/>
            </w:tcBorders>
            <w:shd w:val="clear" w:color="000000" w:fill="FFFFFF"/>
            <w:noWrap/>
            <w:vAlign w:val="center"/>
            <w:hideMark/>
          </w:tcPr>
          <w:p w14:paraId="6C8A8254" w14:textId="6ED6A47D"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18B6B85E" w14:textId="013F5772"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34CBBEB3" w14:textId="0514B11F"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075F969F" w14:textId="55D11C93"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1" w:type="pct"/>
            <w:tcBorders>
              <w:top w:val="nil"/>
              <w:left w:val="single" w:sz="4" w:space="0" w:color="auto"/>
              <w:bottom w:val="nil"/>
              <w:right w:val="single" w:sz="4" w:space="0" w:color="auto"/>
            </w:tcBorders>
            <w:shd w:val="clear" w:color="000000" w:fill="FFFFFF"/>
            <w:noWrap/>
            <w:vAlign w:val="center"/>
            <w:hideMark/>
          </w:tcPr>
          <w:p w14:paraId="79221113" w14:textId="4B0894F0"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c>
          <w:tcPr>
            <w:tcW w:w="493" w:type="pct"/>
            <w:tcBorders>
              <w:top w:val="nil"/>
              <w:left w:val="single" w:sz="4" w:space="0" w:color="auto"/>
              <w:bottom w:val="nil"/>
              <w:right w:val="single" w:sz="4" w:space="0" w:color="auto"/>
            </w:tcBorders>
            <w:shd w:val="clear" w:color="000000" w:fill="FFFFFF"/>
            <w:noWrap/>
            <w:vAlign w:val="center"/>
            <w:hideMark/>
          </w:tcPr>
          <w:p w14:paraId="2AF5F266" w14:textId="64828E37"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w:t>
            </w:r>
          </w:p>
        </w:tc>
      </w:tr>
      <w:tr w:rsidR="00835574" w:rsidRPr="00835574" w14:paraId="7628D37E"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7E4F7DD3"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H.</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Participaciones y Aportaciones</w:t>
            </w:r>
          </w:p>
        </w:tc>
        <w:tc>
          <w:tcPr>
            <w:tcW w:w="479" w:type="pct"/>
            <w:tcBorders>
              <w:top w:val="nil"/>
              <w:left w:val="single" w:sz="4" w:space="0" w:color="auto"/>
              <w:bottom w:val="nil"/>
              <w:right w:val="single" w:sz="4" w:space="0" w:color="auto"/>
            </w:tcBorders>
            <w:shd w:val="clear" w:color="000000" w:fill="FFFFFF"/>
            <w:noWrap/>
            <w:vAlign w:val="center"/>
            <w:hideMark/>
          </w:tcPr>
          <w:p w14:paraId="4A9B0CCD" w14:textId="552C4537"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19,979.32</w:t>
            </w:r>
          </w:p>
        </w:tc>
        <w:tc>
          <w:tcPr>
            <w:tcW w:w="491" w:type="pct"/>
            <w:tcBorders>
              <w:top w:val="nil"/>
              <w:left w:val="single" w:sz="4" w:space="0" w:color="auto"/>
              <w:bottom w:val="nil"/>
              <w:right w:val="single" w:sz="4" w:space="0" w:color="auto"/>
            </w:tcBorders>
            <w:shd w:val="clear" w:color="000000" w:fill="FFFFFF"/>
            <w:noWrap/>
            <w:vAlign w:val="center"/>
            <w:hideMark/>
          </w:tcPr>
          <w:p w14:paraId="3946E5C5" w14:textId="1E90BF57"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20,578.70</w:t>
            </w:r>
          </w:p>
        </w:tc>
        <w:tc>
          <w:tcPr>
            <w:tcW w:w="491" w:type="pct"/>
            <w:tcBorders>
              <w:top w:val="nil"/>
              <w:left w:val="single" w:sz="4" w:space="0" w:color="auto"/>
              <w:bottom w:val="nil"/>
              <w:right w:val="single" w:sz="4" w:space="0" w:color="auto"/>
            </w:tcBorders>
            <w:shd w:val="clear" w:color="000000" w:fill="FFFFFF"/>
            <w:noWrap/>
            <w:vAlign w:val="center"/>
            <w:hideMark/>
          </w:tcPr>
          <w:p w14:paraId="6FE9937A" w14:textId="261D34E7"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21,196.07</w:t>
            </w:r>
          </w:p>
        </w:tc>
        <w:tc>
          <w:tcPr>
            <w:tcW w:w="491" w:type="pct"/>
            <w:tcBorders>
              <w:top w:val="nil"/>
              <w:left w:val="single" w:sz="4" w:space="0" w:color="auto"/>
              <w:bottom w:val="nil"/>
              <w:right w:val="single" w:sz="4" w:space="0" w:color="auto"/>
            </w:tcBorders>
            <w:shd w:val="clear" w:color="000000" w:fill="FFFFFF"/>
            <w:noWrap/>
            <w:vAlign w:val="center"/>
            <w:hideMark/>
          </w:tcPr>
          <w:p w14:paraId="6ECB9226" w14:textId="4C0599F2"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21,831.95</w:t>
            </w:r>
          </w:p>
        </w:tc>
        <w:tc>
          <w:tcPr>
            <w:tcW w:w="491" w:type="pct"/>
            <w:tcBorders>
              <w:top w:val="nil"/>
              <w:left w:val="single" w:sz="4" w:space="0" w:color="auto"/>
              <w:bottom w:val="nil"/>
              <w:right w:val="single" w:sz="4" w:space="0" w:color="auto"/>
            </w:tcBorders>
            <w:shd w:val="clear" w:color="000000" w:fill="FFFFFF"/>
            <w:noWrap/>
            <w:vAlign w:val="center"/>
            <w:hideMark/>
          </w:tcPr>
          <w:p w14:paraId="12B2AC20" w14:textId="40E5998F"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22,486.91</w:t>
            </w:r>
          </w:p>
        </w:tc>
        <w:tc>
          <w:tcPr>
            <w:tcW w:w="493" w:type="pct"/>
            <w:tcBorders>
              <w:top w:val="nil"/>
              <w:left w:val="single" w:sz="4" w:space="0" w:color="auto"/>
              <w:bottom w:val="nil"/>
              <w:right w:val="single" w:sz="4" w:space="0" w:color="auto"/>
            </w:tcBorders>
            <w:shd w:val="clear" w:color="000000" w:fill="FFFFFF"/>
            <w:noWrap/>
            <w:vAlign w:val="center"/>
            <w:hideMark/>
          </w:tcPr>
          <w:p w14:paraId="6B8205E3" w14:textId="2B5FF7AD"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23,161.51</w:t>
            </w:r>
          </w:p>
        </w:tc>
      </w:tr>
      <w:tr w:rsidR="00835574" w:rsidRPr="00835574" w14:paraId="7E227ED4" w14:textId="77777777" w:rsidTr="00E42435">
        <w:trPr>
          <w:trHeight w:val="225"/>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174676B2" w14:textId="77777777" w:rsidR="0002559D" w:rsidRPr="0002559D" w:rsidRDefault="0002559D" w:rsidP="0002559D">
            <w:pPr>
              <w:rPr>
                <w:rFonts w:ascii="Arial" w:eastAsia="Times New Roman" w:hAnsi="Arial" w:cs="Arial"/>
                <w:sz w:val="12"/>
                <w:szCs w:val="12"/>
                <w:lang w:val="es-419" w:eastAsia="es-419"/>
              </w:rPr>
            </w:pPr>
            <w:r w:rsidRPr="0002559D">
              <w:rPr>
                <w:rFonts w:ascii="Arial" w:eastAsia="Times New Roman" w:hAnsi="Arial" w:cs="Arial"/>
                <w:sz w:val="12"/>
                <w:szCs w:val="12"/>
                <w:lang w:val="es-419" w:eastAsia="es-419"/>
              </w:rPr>
              <w:t>I.</w:t>
            </w:r>
            <w:r w:rsidRPr="0002559D">
              <w:rPr>
                <w:rFonts w:ascii="Times New Roman" w:eastAsia="Times New Roman" w:hAnsi="Times New Roman" w:cs="Times New Roman"/>
                <w:sz w:val="14"/>
                <w:szCs w:val="14"/>
                <w:lang w:val="es-419" w:eastAsia="es-419"/>
              </w:rPr>
              <w:t xml:space="preserve">      </w:t>
            </w:r>
            <w:r w:rsidRPr="0002559D">
              <w:rPr>
                <w:rFonts w:ascii="Arial" w:eastAsia="Times New Roman" w:hAnsi="Arial" w:cs="Arial"/>
                <w:sz w:val="12"/>
                <w:szCs w:val="12"/>
                <w:lang w:val="es-419" w:eastAsia="es-419"/>
              </w:rPr>
              <w:t>Deuda Pública</w:t>
            </w:r>
          </w:p>
        </w:tc>
        <w:tc>
          <w:tcPr>
            <w:tcW w:w="479" w:type="pct"/>
            <w:tcBorders>
              <w:top w:val="nil"/>
              <w:left w:val="single" w:sz="4" w:space="0" w:color="auto"/>
              <w:bottom w:val="nil"/>
              <w:right w:val="single" w:sz="4" w:space="0" w:color="auto"/>
            </w:tcBorders>
            <w:shd w:val="clear" w:color="000000" w:fill="FFFFFF"/>
            <w:noWrap/>
            <w:vAlign w:val="center"/>
            <w:hideMark/>
          </w:tcPr>
          <w:p w14:paraId="05445020" w14:textId="67A8ED63"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1,731.79</w:t>
            </w:r>
          </w:p>
        </w:tc>
        <w:tc>
          <w:tcPr>
            <w:tcW w:w="491" w:type="pct"/>
            <w:tcBorders>
              <w:top w:val="nil"/>
              <w:left w:val="single" w:sz="4" w:space="0" w:color="auto"/>
              <w:bottom w:val="nil"/>
              <w:right w:val="single" w:sz="4" w:space="0" w:color="auto"/>
            </w:tcBorders>
            <w:shd w:val="clear" w:color="000000" w:fill="FFFFFF"/>
            <w:noWrap/>
            <w:vAlign w:val="center"/>
            <w:hideMark/>
          </w:tcPr>
          <w:p w14:paraId="28C29DB7" w14:textId="00FFB3C9"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1,783.74</w:t>
            </w:r>
          </w:p>
        </w:tc>
        <w:tc>
          <w:tcPr>
            <w:tcW w:w="491" w:type="pct"/>
            <w:tcBorders>
              <w:top w:val="nil"/>
              <w:left w:val="single" w:sz="4" w:space="0" w:color="auto"/>
              <w:bottom w:val="nil"/>
              <w:right w:val="single" w:sz="4" w:space="0" w:color="auto"/>
            </w:tcBorders>
            <w:shd w:val="clear" w:color="000000" w:fill="FFFFFF"/>
            <w:noWrap/>
            <w:vAlign w:val="center"/>
            <w:hideMark/>
          </w:tcPr>
          <w:p w14:paraId="4D2930E6" w14:textId="6EC8113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1,837.25</w:t>
            </w:r>
          </w:p>
        </w:tc>
        <w:tc>
          <w:tcPr>
            <w:tcW w:w="491" w:type="pct"/>
            <w:tcBorders>
              <w:top w:val="nil"/>
              <w:left w:val="single" w:sz="4" w:space="0" w:color="auto"/>
              <w:bottom w:val="nil"/>
              <w:right w:val="single" w:sz="4" w:space="0" w:color="auto"/>
            </w:tcBorders>
            <w:shd w:val="clear" w:color="000000" w:fill="FFFFFF"/>
            <w:noWrap/>
            <w:vAlign w:val="center"/>
            <w:hideMark/>
          </w:tcPr>
          <w:p w14:paraId="4045C2F8" w14:textId="6B59094D"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1,892.37</w:t>
            </w:r>
          </w:p>
        </w:tc>
        <w:tc>
          <w:tcPr>
            <w:tcW w:w="491" w:type="pct"/>
            <w:tcBorders>
              <w:top w:val="nil"/>
              <w:left w:val="single" w:sz="4" w:space="0" w:color="auto"/>
              <w:bottom w:val="nil"/>
              <w:right w:val="single" w:sz="4" w:space="0" w:color="auto"/>
            </w:tcBorders>
            <w:shd w:val="clear" w:color="000000" w:fill="FFFFFF"/>
            <w:noWrap/>
            <w:vAlign w:val="center"/>
            <w:hideMark/>
          </w:tcPr>
          <w:p w14:paraId="4F556EA6" w14:textId="513DB795"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1,949.14</w:t>
            </w:r>
          </w:p>
        </w:tc>
        <w:tc>
          <w:tcPr>
            <w:tcW w:w="493" w:type="pct"/>
            <w:tcBorders>
              <w:top w:val="nil"/>
              <w:left w:val="single" w:sz="4" w:space="0" w:color="auto"/>
              <w:bottom w:val="nil"/>
              <w:right w:val="single" w:sz="4" w:space="0" w:color="auto"/>
            </w:tcBorders>
            <w:shd w:val="clear" w:color="000000" w:fill="FFFFFF"/>
            <w:noWrap/>
            <w:vAlign w:val="center"/>
            <w:hideMark/>
          </w:tcPr>
          <w:p w14:paraId="1B82A5E2" w14:textId="129B9F3E" w:rsidR="0002559D" w:rsidRPr="0002559D" w:rsidRDefault="0002559D" w:rsidP="0002559D">
            <w:pPr>
              <w:jc w:val="right"/>
              <w:rPr>
                <w:rFonts w:ascii="Arial" w:eastAsia="Times New Roman" w:hAnsi="Arial" w:cs="Arial"/>
                <w:sz w:val="12"/>
                <w:szCs w:val="12"/>
                <w:lang w:val="es-419" w:eastAsia="es-419"/>
              </w:rPr>
            </w:pPr>
            <w:r w:rsidRPr="00835574">
              <w:rPr>
                <w:rFonts w:ascii="Arial" w:hAnsi="Arial" w:cs="Arial"/>
                <w:sz w:val="12"/>
                <w:szCs w:val="12"/>
              </w:rPr>
              <w:t>2,007.61</w:t>
            </w:r>
          </w:p>
        </w:tc>
      </w:tr>
      <w:tr w:rsidR="00835574" w:rsidRPr="00835574" w14:paraId="6F3AE19C" w14:textId="77777777" w:rsidTr="00E42435">
        <w:trPr>
          <w:trHeight w:val="300"/>
        </w:trPr>
        <w:tc>
          <w:tcPr>
            <w:tcW w:w="2064" w:type="pct"/>
            <w:tcBorders>
              <w:top w:val="nil"/>
              <w:left w:val="single" w:sz="4" w:space="0" w:color="auto"/>
              <w:bottom w:val="nil"/>
              <w:right w:val="single" w:sz="4" w:space="0" w:color="auto"/>
            </w:tcBorders>
            <w:shd w:val="clear" w:color="auto" w:fill="FFFFFF" w:themeFill="background1"/>
            <w:noWrap/>
            <w:vAlign w:val="center"/>
            <w:hideMark/>
          </w:tcPr>
          <w:p w14:paraId="0C687FE8" w14:textId="7738C9C3" w:rsidR="0002559D" w:rsidRPr="0002559D" w:rsidRDefault="0002559D" w:rsidP="0002559D">
            <w:pPr>
              <w:rPr>
                <w:rFonts w:ascii="Arial" w:eastAsia="Times New Roman" w:hAnsi="Arial" w:cs="Arial"/>
                <w:sz w:val="12"/>
                <w:szCs w:val="12"/>
                <w:lang w:val="es-419" w:eastAsia="es-419"/>
              </w:rPr>
            </w:pPr>
          </w:p>
        </w:tc>
        <w:tc>
          <w:tcPr>
            <w:tcW w:w="479" w:type="pct"/>
            <w:tcBorders>
              <w:top w:val="nil"/>
              <w:left w:val="single" w:sz="4" w:space="0" w:color="auto"/>
              <w:bottom w:val="nil"/>
              <w:right w:val="single" w:sz="4" w:space="0" w:color="auto"/>
            </w:tcBorders>
            <w:shd w:val="clear" w:color="000000" w:fill="FFFFFF"/>
            <w:noWrap/>
            <w:vAlign w:val="center"/>
            <w:hideMark/>
          </w:tcPr>
          <w:p w14:paraId="1FFFA88C" w14:textId="58A13F8A" w:rsidR="0002559D" w:rsidRPr="0002559D" w:rsidRDefault="0002559D" w:rsidP="0002559D">
            <w:pPr>
              <w:jc w:val="right"/>
              <w:rPr>
                <w:rFonts w:ascii="Arial" w:eastAsia="Times New Roman" w:hAnsi="Arial" w:cs="Arial"/>
                <w:sz w:val="12"/>
                <w:szCs w:val="12"/>
                <w:lang w:val="es-419" w:eastAsia="es-419"/>
              </w:rPr>
            </w:pPr>
          </w:p>
        </w:tc>
        <w:tc>
          <w:tcPr>
            <w:tcW w:w="491" w:type="pct"/>
            <w:tcBorders>
              <w:top w:val="nil"/>
              <w:left w:val="single" w:sz="4" w:space="0" w:color="auto"/>
              <w:bottom w:val="nil"/>
              <w:right w:val="single" w:sz="4" w:space="0" w:color="auto"/>
            </w:tcBorders>
            <w:shd w:val="clear" w:color="000000" w:fill="FFFFFF"/>
            <w:noWrap/>
            <w:vAlign w:val="center"/>
            <w:hideMark/>
          </w:tcPr>
          <w:p w14:paraId="2DF1BE5B" w14:textId="3D0F7B28" w:rsidR="0002559D" w:rsidRPr="0002559D" w:rsidRDefault="0002559D" w:rsidP="0002559D">
            <w:pPr>
              <w:jc w:val="right"/>
              <w:rPr>
                <w:rFonts w:ascii="Arial" w:eastAsia="Times New Roman" w:hAnsi="Arial" w:cs="Arial"/>
                <w:sz w:val="12"/>
                <w:szCs w:val="12"/>
                <w:lang w:val="es-419" w:eastAsia="es-419"/>
              </w:rPr>
            </w:pPr>
          </w:p>
        </w:tc>
        <w:tc>
          <w:tcPr>
            <w:tcW w:w="491" w:type="pct"/>
            <w:tcBorders>
              <w:top w:val="nil"/>
              <w:left w:val="single" w:sz="4" w:space="0" w:color="auto"/>
              <w:bottom w:val="nil"/>
              <w:right w:val="single" w:sz="4" w:space="0" w:color="auto"/>
            </w:tcBorders>
            <w:shd w:val="clear" w:color="000000" w:fill="FFFFFF"/>
            <w:noWrap/>
            <w:vAlign w:val="center"/>
            <w:hideMark/>
          </w:tcPr>
          <w:p w14:paraId="2E206514" w14:textId="15F48833" w:rsidR="0002559D" w:rsidRPr="0002559D" w:rsidRDefault="0002559D" w:rsidP="0002559D">
            <w:pPr>
              <w:jc w:val="right"/>
              <w:rPr>
                <w:rFonts w:ascii="Arial" w:eastAsia="Times New Roman" w:hAnsi="Arial" w:cs="Arial"/>
                <w:sz w:val="12"/>
                <w:szCs w:val="12"/>
                <w:lang w:val="es-419" w:eastAsia="es-419"/>
              </w:rPr>
            </w:pPr>
          </w:p>
        </w:tc>
        <w:tc>
          <w:tcPr>
            <w:tcW w:w="491" w:type="pct"/>
            <w:tcBorders>
              <w:top w:val="nil"/>
              <w:left w:val="single" w:sz="4" w:space="0" w:color="auto"/>
              <w:bottom w:val="nil"/>
              <w:right w:val="single" w:sz="4" w:space="0" w:color="auto"/>
            </w:tcBorders>
            <w:shd w:val="clear" w:color="000000" w:fill="FFFFFF"/>
            <w:noWrap/>
            <w:vAlign w:val="center"/>
            <w:hideMark/>
          </w:tcPr>
          <w:p w14:paraId="2BD276B3" w14:textId="6119B7C2" w:rsidR="0002559D" w:rsidRPr="0002559D" w:rsidRDefault="0002559D" w:rsidP="0002559D">
            <w:pPr>
              <w:jc w:val="right"/>
              <w:rPr>
                <w:rFonts w:ascii="Arial" w:eastAsia="Times New Roman" w:hAnsi="Arial" w:cs="Arial"/>
                <w:sz w:val="12"/>
                <w:szCs w:val="12"/>
                <w:lang w:val="es-419" w:eastAsia="es-419"/>
              </w:rPr>
            </w:pPr>
          </w:p>
        </w:tc>
        <w:tc>
          <w:tcPr>
            <w:tcW w:w="491" w:type="pct"/>
            <w:tcBorders>
              <w:top w:val="nil"/>
              <w:left w:val="single" w:sz="4" w:space="0" w:color="auto"/>
              <w:bottom w:val="nil"/>
              <w:right w:val="single" w:sz="4" w:space="0" w:color="auto"/>
            </w:tcBorders>
            <w:shd w:val="clear" w:color="000000" w:fill="FFFFFF"/>
            <w:noWrap/>
            <w:vAlign w:val="center"/>
            <w:hideMark/>
          </w:tcPr>
          <w:p w14:paraId="442080FA" w14:textId="32AB8643" w:rsidR="0002559D" w:rsidRPr="0002559D" w:rsidRDefault="0002559D" w:rsidP="0002559D">
            <w:pPr>
              <w:jc w:val="right"/>
              <w:rPr>
                <w:rFonts w:ascii="Arial" w:eastAsia="Times New Roman" w:hAnsi="Arial" w:cs="Arial"/>
                <w:sz w:val="12"/>
                <w:szCs w:val="12"/>
                <w:lang w:val="es-419" w:eastAsia="es-419"/>
              </w:rPr>
            </w:pPr>
          </w:p>
        </w:tc>
        <w:tc>
          <w:tcPr>
            <w:tcW w:w="493" w:type="pct"/>
            <w:tcBorders>
              <w:top w:val="nil"/>
              <w:left w:val="single" w:sz="4" w:space="0" w:color="auto"/>
              <w:bottom w:val="nil"/>
              <w:right w:val="single" w:sz="4" w:space="0" w:color="auto"/>
            </w:tcBorders>
            <w:shd w:val="clear" w:color="000000" w:fill="FFFFFF"/>
            <w:noWrap/>
            <w:vAlign w:val="center"/>
            <w:hideMark/>
          </w:tcPr>
          <w:p w14:paraId="2E00C965" w14:textId="794A8AAF" w:rsidR="0002559D" w:rsidRPr="0002559D" w:rsidRDefault="0002559D" w:rsidP="0002559D">
            <w:pPr>
              <w:jc w:val="right"/>
              <w:rPr>
                <w:rFonts w:ascii="Arial" w:eastAsia="Times New Roman" w:hAnsi="Arial" w:cs="Arial"/>
                <w:sz w:val="12"/>
                <w:szCs w:val="12"/>
                <w:lang w:val="es-419" w:eastAsia="es-419"/>
              </w:rPr>
            </w:pPr>
          </w:p>
        </w:tc>
      </w:tr>
      <w:tr w:rsidR="00835574" w:rsidRPr="00835574" w14:paraId="21231515" w14:textId="77777777" w:rsidTr="00E42435">
        <w:trPr>
          <w:trHeight w:val="300"/>
        </w:trPr>
        <w:tc>
          <w:tcPr>
            <w:tcW w:w="2064"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40EE072C" w14:textId="77777777" w:rsidR="0002559D" w:rsidRPr="0002559D" w:rsidRDefault="0002559D" w:rsidP="0002559D">
            <w:pPr>
              <w:rPr>
                <w:rFonts w:ascii="Arial" w:eastAsia="Times New Roman" w:hAnsi="Arial" w:cs="Arial"/>
                <w:b/>
                <w:bCs/>
                <w:sz w:val="12"/>
                <w:szCs w:val="12"/>
                <w:lang w:val="es-419" w:eastAsia="es-419"/>
              </w:rPr>
            </w:pPr>
            <w:r w:rsidRPr="0002559D">
              <w:rPr>
                <w:rFonts w:ascii="Arial" w:eastAsia="Times New Roman" w:hAnsi="Arial" w:cs="Arial"/>
                <w:b/>
                <w:bCs/>
                <w:sz w:val="12"/>
                <w:szCs w:val="12"/>
                <w:lang w:val="es-419" w:eastAsia="es-419"/>
              </w:rPr>
              <w:t>3.</w:t>
            </w:r>
            <w:r w:rsidRPr="0002559D">
              <w:rPr>
                <w:rFonts w:ascii="Times New Roman" w:eastAsia="Times New Roman" w:hAnsi="Times New Roman" w:cs="Times New Roman"/>
                <w:b/>
                <w:bCs/>
                <w:sz w:val="14"/>
                <w:szCs w:val="14"/>
                <w:lang w:val="es-419" w:eastAsia="es-419"/>
              </w:rPr>
              <w:t xml:space="preserve">  </w:t>
            </w:r>
            <w:r w:rsidRPr="0002559D">
              <w:rPr>
                <w:rFonts w:ascii="Arial" w:eastAsia="Times New Roman" w:hAnsi="Arial" w:cs="Arial"/>
                <w:b/>
                <w:bCs/>
                <w:sz w:val="12"/>
                <w:szCs w:val="12"/>
                <w:lang w:val="es-419" w:eastAsia="es-419"/>
              </w:rPr>
              <w:t>Total de Egresos Proyectados (3 = 1 + 2)</w:t>
            </w:r>
          </w:p>
        </w:tc>
        <w:tc>
          <w:tcPr>
            <w:tcW w:w="479" w:type="pct"/>
            <w:tcBorders>
              <w:top w:val="nil"/>
              <w:left w:val="single" w:sz="4" w:space="0" w:color="auto"/>
              <w:bottom w:val="single" w:sz="4" w:space="0" w:color="auto"/>
              <w:right w:val="single" w:sz="4" w:space="0" w:color="auto"/>
            </w:tcBorders>
            <w:shd w:val="clear" w:color="000000" w:fill="FFFFFF"/>
            <w:noWrap/>
            <w:vAlign w:val="center"/>
            <w:hideMark/>
          </w:tcPr>
          <w:p w14:paraId="0695F33D" w14:textId="021DEC14"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92,229.48</w:t>
            </w:r>
          </w:p>
        </w:tc>
        <w:tc>
          <w:tcPr>
            <w:tcW w:w="491" w:type="pct"/>
            <w:tcBorders>
              <w:top w:val="nil"/>
              <w:left w:val="single" w:sz="4" w:space="0" w:color="auto"/>
              <w:bottom w:val="single" w:sz="4" w:space="0" w:color="auto"/>
              <w:right w:val="single" w:sz="4" w:space="0" w:color="auto"/>
            </w:tcBorders>
            <w:shd w:val="clear" w:color="000000" w:fill="FFFFFF"/>
            <w:noWrap/>
            <w:vAlign w:val="center"/>
            <w:hideMark/>
          </w:tcPr>
          <w:p w14:paraId="41A10CE1" w14:textId="197EDB24"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94,996.36</w:t>
            </w:r>
          </w:p>
        </w:tc>
        <w:tc>
          <w:tcPr>
            <w:tcW w:w="491" w:type="pct"/>
            <w:tcBorders>
              <w:top w:val="nil"/>
              <w:left w:val="single" w:sz="4" w:space="0" w:color="auto"/>
              <w:bottom w:val="single" w:sz="4" w:space="0" w:color="auto"/>
              <w:right w:val="single" w:sz="4" w:space="0" w:color="auto"/>
            </w:tcBorders>
            <w:shd w:val="clear" w:color="000000" w:fill="FFFFFF"/>
            <w:noWrap/>
            <w:vAlign w:val="center"/>
            <w:hideMark/>
          </w:tcPr>
          <w:p w14:paraId="5A77E389" w14:textId="315FC654"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97,846.26</w:t>
            </w:r>
          </w:p>
        </w:tc>
        <w:tc>
          <w:tcPr>
            <w:tcW w:w="491" w:type="pct"/>
            <w:tcBorders>
              <w:top w:val="nil"/>
              <w:left w:val="single" w:sz="4" w:space="0" w:color="auto"/>
              <w:bottom w:val="single" w:sz="4" w:space="0" w:color="auto"/>
              <w:right w:val="single" w:sz="4" w:space="0" w:color="auto"/>
            </w:tcBorders>
            <w:shd w:val="clear" w:color="000000" w:fill="FFFFFF"/>
            <w:noWrap/>
            <w:vAlign w:val="center"/>
            <w:hideMark/>
          </w:tcPr>
          <w:p w14:paraId="4460E9C4" w14:textId="6BA96E21"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100,781.64</w:t>
            </w:r>
          </w:p>
        </w:tc>
        <w:tc>
          <w:tcPr>
            <w:tcW w:w="491" w:type="pct"/>
            <w:tcBorders>
              <w:top w:val="nil"/>
              <w:left w:val="single" w:sz="4" w:space="0" w:color="auto"/>
              <w:bottom w:val="single" w:sz="4" w:space="0" w:color="auto"/>
              <w:right w:val="single" w:sz="4" w:space="0" w:color="auto"/>
            </w:tcBorders>
            <w:shd w:val="clear" w:color="000000" w:fill="FFFFFF"/>
            <w:noWrap/>
            <w:vAlign w:val="center"/>
            <w:hideMark/>
          </w:tcPr>
          <w:p w14:paraId="54F4ECBA" w14:textId="45982D0A"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103,805.09</w:t>
            </w:r>
          </w:p>
        </w:tc>
        <w:tc>
          <w:tcPr>
            <w:tcW w:w="493" w:type="pct"/>
            <w:tcBorders>
              <w:top w:val="nil"/>
              <w:left w:val="single" w:sz="4" w:space="0" w:color="auto"/>
              <w:bottom w:val="single" w:sz="4" w:space="0" w:color="auto"/>
              <w:right w:val="single" w:sz="4" w:space="0" w:color="auto"/>
            </w:tcBorders>
            <w:shd w:val="clear" w:color="000000" w:fill="FFFFFF"/>
            <w:noWrap/>
            <w:vAlign w:val="center"/>
            <w:hideMark/>
          </w:tcPr>
          <w:p w14:paraId="532A8452" w14:textId="1EDB592D" w:rsidR="0002559D" w:rsidRPr="0002559D" w:rsidRDefault="0002559D" w:rsidP="0002559D">
            <w:pPr>
              <w:jc w:val="right"/>
              <w:rPr>
                <w:rFonts w:ascii="Arial" w:eastAsia="Times New Roman" w:hAnsi="Arial" w:cs="Arial"/>
                <w:b/>
                <w:bCs/>
                <w:sz w:val="12"/>
                <w:szCs w:val="12"/>
                <w:lang w:val="es-419" w:eastAsia="es-419"/>
              </w:rPr>
            </w:pPr>
            <w:r w:rsidRPr="00835574">
              <w:rPr>
                <w:rFonts w:ascii="Arial" w:hAnsi="Arial" w:cs="Arial"/>
                <w:b/>
                <w:bCs/>
                <w:sz w:val="12"/>
                <w:szCs w:val="12"/>
              </w:rPr>
              <w:t>106,919.24</w:t>
            </w:r>
          </w:p>
        </w:tc>
      </w:tr>
    </w:tbl>
    <w:p w14:paraId="477611E4" w14:textId="68F3B8E3" w:rsidR="005A2965" w:rsidRPr="00070B25" w:rsidRDefault="00070B25" w:rsidP="00421E8E">
      <w:pPr>
        <w:pStyle w:val="Sinespaciado"/>
        <w:jc w:val="both"/>
        <w:rPr>
          <w:sz w:val="18"/>
          <w:szCs w:val="18"/>
        </w:rPr>
      </w:pPr>
      <w:r w:rsidRPr="00994CDD">
        <w:rPr>
          <w:sz w:val="18"/>
          <w:szCs w:val="18"/>
        </w:rPr>
        <w:t xml:space="preserve">Nota: </w:t>
      </w:r>
      <w:r w:rsidR="008D3E34" w:rsidRPr="00994CDD">
        <w:rPr>
          <w:sz w:val="18"/>
          <w:szCs w:val="18"/>
        </w:rPr>
        <w:t>L</w:t>
      </w:r>
      <w:r w:rsidR="005A2965" w:rsidRPr="00994CDD">
        <w:rPr>
          <w:sz w:val="18"/>
          <w:szCs w:val="18"/>
        </w:rPr>
        <w:t xml:space="preserve">a proyección de los Egresos se </w:t>
      </w:r>
      <w:r w:rsidR="008D3E34" w:rsidRPr="00994CDD">
        <w:rPr>
          <w:sz w:val="18"/>
          <w:szCs w:val="18"/>
        </w:rPr>
        <w:t>realiza</w:t>
      </w:r>
      <w:r w:rsidR="005A2965" w:rsidRPr="00994CDD">
        <w:rPr>
          <w:sz w:val="18"/>
          <w:szCs w:val="18"/>
        </w:rPr>
        <w:t xml:space="preserve"> en consideración </w:t>
      </w:r>
      <w:r w:rsidR="005E3445" w:rsidRPr="00994CDD">
        <w:rPr>
          <w:sz w:val="18"/>
          <w:szCs w:val="18"/>
        </w:rPr>
        <w:t>d</w:t>
      </w:r>
      <w:r w:rsidR="005A2965" w:rsidRPr="00994CDD">
        <w:rPr>
          <w:sz w:val="18"/>
          <w:szCs w:val="18"/>
        </w:rPr>
        <w:t>el incremento porcentual que se estima en la Proyección de Ingresos.</w:t>
      </w:r>
    </w:p>
    <w:p w14:paraId="47238946" w14:textId="77777777" w:rsidR="005A2965" w:rsidRPr="00835574" w:rsidRDefault="005A2965" w:rsidP="00421E8E">
      <w:pPr>
        <w:pStyle w:val="Sinespaciado"/>
        <w:jc w:val="both"/>
      </w:pPr>
    </w:p>
    <w:p w14:paraId="309B3711" w14:textId="4C9AAD3D" w:rsidR="00375256" w:rsidRPr="00835574" w:rsidRDefault="00375256">
      <w:pPr>
        <w:pStyle w:val="Sinespaciado"/>
        <w:numPr>
          <w:ilvl w:val="0"/>
          <w:numId w:val="20"/>
        </w:numPr>
        <w:jc w:val="both"/>
        <w:rPr>
          <w:b/>
          <w:bCs/>
        </w:rPr>
      </w:pPr>
      <w:r w:rsidRPr="00835574">
        <w:rPr>
          <w:b/>
          <w:bCs/>
        </w:rPr>
        <w:t>ESTUDIO ACTUARIAL DE LAS PENSIONES</w:t>
      </w:r>
    </w:p>
    <w:p w14:paraId="64F4D68C" w14:textId="1FD7AD73" w:rsidR="00375256" w:rsidRPr="00835574" w:rsidRDefault="00375256" w:rsidP="00421E8E">
      <w:pPr>
        <w:pStyle w:val="Sinespaciado"/>
        <w:jc w:val="both"/>
        <w:rPr>
          <w:b/>
          <w:bCs/>
        </w:rPr>
      </w:pPr>
    </w:p>
    <w:p w14:paraId="41514989" w14:textId="78765A46" w:rsidR="00CF12D9" w:rsidRPr="00835574" w:rsidRDefault="00375256" w:rsidP="00421E8E">
      <w:pPr>
        <w:pStyle w:val="Sinespaciado"/>
        <w:jc w:val="both"/>
      </w:pPr>
      <w:r w:rsidRPr="00835574">
        <w:lastRenderedPageBreak/>
        <w:t>Para dar cumplimiento al artículo 5 fracción V de la Ley de Disciplina, se presenta el estudio actuarial de la Oficina de Pensiones del Estado de Oaxaca.</w:t>
      </w:r>
    </w:p>
    <w:tbl>
      <w:tblPr>
        <w:tblW w:w="5135" w:type="pct"/>
        <w:tblLayout w:type="fixed"/>
        <w:tblCellMar>
          <w:left w:w="70" w:type="dxa"/>
          <w:right w:w="70" w:type="dxa"/>
        </w:tblCellMar>
        <w:tblLook w:val="00E0" w:firstRow="1" w:lastRow="1" w:firstColumn="1" w:lastColumn="0" w:noHBand="0" w:noVBand="0"/>
      </w:tblPr>
      <w:tblGrid>
        <w:gridCol w:w="1680"/>
        <w:gridCol w:w="1402"/>
        <w:gridCol w:w="704"/>
        <w:gridCol w:w="1262"/>
        <w:gridCol w:w="1327"/>
        <w:gridCol w:w="1416"/>
        <w:gridCol w:w="1275"/>
      </w:tblGrid>
      <w:tr w:rsidR="00835574" w:rsidRPr="00835574" w14:paraId="4BE24899" w14:textId="77777777" w:rsidTr="00536713">
        <w:trPr>
          <w:trHeight w:val="510"/>
          <w:tblHeader/>
        </w:trPr>
        <w:tc>
          <w:tcPr>
            <w:tcW w:w="5000" w:type="pct"/>
            <w:gridSpan w:val="7"/>
            <w:tcBorders>
              <w:top w:val="single" w:sz="4" w:space="0" w:color="auto"/>
              <w:left w:val="single" w:sz="4" w:space="0" w:color="auto"/>
              <w:right w:val="single" w:sz="4" w:space="0" w:color="auto"/>
            </w:tcBorders>
            <w:shd w:val="clear" w:color="auto" w:fill="A8D08D" w:themeFill="accent6" w:themeFillTint="99"/>
            <w:vAlign w:val="center"/>
          </w:tcPr>
          <w:p w14:paraId="4F9D3F26" w14:textId="77777777" w:rsidR="00873F73" w:rsidRPr="00835574" w:rsidRDefault="00873F73" w:rsidP="00873F73">
            <w:pPr>
              <w:spacing w:after="0" w:line="256" w:lineRule="auto"/>
              <w:jc w:val="center"/>
              <w:rPr>
                <w:rFonts w:ascii="Calibri" w:eastAsia="Calibri" w:hAnsi="Calibri" w:cs="Times New Roman"/>
                <w:b/>
                <w:bCs/>
                <w:i/>
                <w:iCs/>
                <w:lang w:eastAsia="es-MX" w:bidi="es-MX"/>
              </w:rPr>
            </w:pPr>
            <w:r w:rsidRPr="00835574">
              <w:rPr>
                <w:rFonts w:ascii="Calibri" w:eastAsia="Calibri" w:hAnsi="Calibri" w:cs="Times New Roman"/>
                <w:b/>
                <w:bCs/>
                <w:i/>
                <w:iCs/>
                <w:lang w:eastAsia="es-MX" w:bidi="es-MX"/>
              </w:rPr>
              <w:t>OFICINA DE PENSIONES DEL ESTADO DE OAXACA</w:t>
            </w:r>
          </w:p>
          <w:p w14:paraId="5E8C6A99" w14:textId="77777777" w:rsidR="00873F73" w:rsidRPr="00835574" w:rsidRDefault="00873F73" w:rsidP="00873F73">
            <w:pPr>
              <w:spacing w:after="0" w:line="256" w:lineRule="auto"/>
              <w:jc w:val="center"/>
              <w:rPr>
                <w:b/>
                <w:bCs/>
                <w:i/>
                <w:iCs/>
                <w:lang w:eastAsia="es-MX" w:bidi="es-MX"/>
              </w:rPr>
            </w:pPr>
            <w:r w:rsidRPr="00835574">
              <w:rPr>
                <w:rFonts w:ascii="Calibri" w:eastAsia="Calibri" w:hAnsi="Calibri" w:cs="Times New Roman"/>
                <w:b/>
                <w:bCs/>
                <w:i/>
                <w:iCs/>
                <w:lang w:eastAsia="es-MX" w:bidi="es-MX"/>
              </w:rPr>
              <w:t>Informe sobre Estudios Actuariales – LDF</w:t>
            </w:r>
            <w:r w:rsidRPr="00835574">
              <w:rPr>
                <w:b/>
                <w:bCs/>
                <w:i/>
                <w:iCs/>
                <w:lang w:eastAsia="es-MX" w:bidi="es-MX"/>
              </w:rPr>
              <w:t xml:space="preserve"> </w:t>
            </w:r>
          </w:p>
        </w:tc>
      </w:tr>
      <w:tr w:rsidR="00835574" w:rsidRPr="00835574" w14:paraId="54D8FD7A" w14:textId="77777777" w:rsidTr="0054060B">
        <w:trPr>
          <w:trHeight w:val="429"/>
          <w:tblHeader/>
        </w:trPr>
        <w:tc>
          <w:tcPr>
            <w:tcW w:w="927"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4307E754" w14:textId="77777777" w:rsidR="00873F73" w:rsidRPr="00835574" w:rsidRDefault="00873F73" w:rsidP="00873F73">
            <w:pPr>
              <w:spacing w:after="0"/>
              <w:jc w:val="center"/>
              <w:rPr>
                <w:rFonts w:ascii="Arial" w:eastAsia="Times New Roman" w:hAnsi="Arial" w:cs="Arial"/>
                <w:b/>
                <w:bCs/>
                <w:sz w:val="13"/>
                <w:szCs w:val="13"/>
                <w:lang w:eastAsia="es-MX"/>
              </w:rPr>
            </w:pPr>
          </w:p>
        </w:tc>
        <w:tc>
          <w:tcPr>
            <w:tcW w:w="773"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tcPr>
          <w:p w14:paraId="214261E0" w14:textId="77777777" w:rsidR="00873F73" w:rsidRPr="00835574" w:rsidRDefault="00873F73" w:rsidP="00873F73">
            <w:pPr>
              <w:spacing w:after="0"/>
              <w:jc w:val="center"/>
              <w:rPr>
                <w:rFonts w:ascii="Arial" w:eastAsia="Times New Roman" w:hAnsi="Arial" w:cs="Arial"/>
                <w:b/>
                <w:bCs/>
                <w:sz w:val="13"/>
                <w:szCs w:val="13"/>
                <w:lang w:eastAsia="es-MX"/>
              </w:rPr>
            </w:pPr>
          </w:p>
          <w:p w14:paraId="0AB1987C"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Pensiones y jubilaciones</w:t>
            </w:r>
          </w:p>
        </w:tc>
        <w:tc>
          <w:tcPr>
            <w:tcW w:w="388"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5A3372CF"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Salud</w:t>
            </w:r>
          </w:p>
        </w:tc>
        <w:tc>
          <w:tcPr>
            <w:tcW w:w="696"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02C85E06"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Riesgos de trabajo</w:t>
            </w:r>
          </w:p>
        </w:tc>
        <w:tc>
          <w:tcPr>
            <w:tcW w:w="732"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5BCBB218"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Invalidez y vida</w:t>
            </w:r>
          </w:p>
        </w:tc>
        <w:tc>
          <w:tcPr>
            <w:tcW w:w="781"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tcPr>
          <w:p w14:paraId="307C191D"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Otras prestaciones sociales</w:t>
            </w:r>
          </w:p>
        </w:tc>
        <w:tc>
          <w:tcPr>
            <w:tcW w:w="703"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23DC4893"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Total</w:t>
            </w:r>
          </w:p>
        </w:tc>
      </w:tr>
      <w:tr w:rsidR="00835574" w:rsidRPr="00835574" w14:paraId="31EAF629"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3811580"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Tipo de sistema</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22A3B9"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DEFA9FB"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E58B76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800317"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3770E"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B0490"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r>
      <w:tr w:rsidR="00835574" w:rsidRPr="00835574" w14:paraId="4CF3BA8B"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DF24150"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 o Fondo general para trabajadores del estado o municipio</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0594D"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B2EC47F"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35412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109F14"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B3810E"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6AD82A"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r>
      <w:tr w:rsidR="00835574" w:rsidRPr="00835574" w14:paraId="6B1B6FB1"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D4846EE"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 Contribución definida o Mixto</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D5E989"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16CF4C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BF73F20"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3D7761"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19AC64"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F73E3D"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r>
      <w:tr w:rsidR="00835574" w:rsidRPr="00835574" w14:paraId="23B7F41B"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698C8B9"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Población afiliada</w:t>
            </w:r>
          </w:p>
        </w:tc>
        <w:tc>
          <w:tcPr>
            <w:tcW w:w="773" w:type="pct"/>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7E59189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10C88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DE97FB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D6654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F92D8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54D68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784EAD2C"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631C86A6"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Activos</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58667C2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20,377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EB5A29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2B13B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20,377</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0D27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20,377</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B6D76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20,377</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73534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20,377</w:t>
            </w:r>
          </w:p>
        </w:tc>
      </w:tr>
      <w:tr w:rsidR="00835574" w:rsidRPr="00835574" w14:paraId="75206D88"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7D565DC7"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máxima</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7558919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91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1D6B9F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5A8ACF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91</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006C1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91</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3F07C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91</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9D58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91</w:t>
            </w:r>
          </w:p>
        </w:tc>
      </w:tr>
      <w:tr w:rsidR="00835574" w:rsidRPr="00835574" w14:paraId="2B6F741C"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7816F908"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mínima</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245CA73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16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1878D7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84B200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16</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190B9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16</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DF095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16</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75DB6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16</w:t>
            </w:r>
          </w:p>
        </w:tc>
      </w:tr>
      <w:tr w:rsidR="00835574" w:rsidRPr="00835574" w14:paraId="2D5BD466"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6DC620A6"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promedio</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64DF6F4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43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BCAAB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2EE29F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43</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CCA96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43</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8B582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43</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C2203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43</w:t>
            </w:r>
          </w:p>
        </w:tc>
      </w:tr>
      <w:tr w:rsidR="00835574" w:rsidRPr="00835574" w14:paraId="476CD3A6"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36F019C8"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Pensionados y Jubilados</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3419E77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3,544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0D2C4C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D5129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113</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36F91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1,022</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FE666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AA899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4,679</w:t>
            </w:r>
          </w:p>
        </w:tc>
      </w:tr>
      <w:tr w:rsidR="00835574" w:rsidRPr="00835574" w14:paraId="7F199AE6"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35005BD3"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máxima</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69CF834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90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ECC5B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68CAE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3DC5B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D681E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4249E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90</w:t>
            </w:r>
          </w:p>
        </w:tc>
      </w:tr>
      <w:tr w:rsidR="00835574" w:rsidRPr="00835574" w14:paraId="2450838D"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14585920"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mínima</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1C5FE5F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45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604DC5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385B94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23</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1405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23</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AF27C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949CD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23</w:t>
            </w:r>
          </w:p>
        </w:tc>
      </w:tr>
      <w:tr w:rsidR="00835574" w:rsidRPr="00835574" w14:paraId="4C97E1BA"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3FD3743E"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promedio</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2E1F34F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63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E3F6AF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1F6E53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68</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C4290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67</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67A8C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C3621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64</w:t>
            </w:r>
          </w:p>
        </w:tc>
      </w:tr>
      <w:tr w:rsidR="00835574" w:rsidRPr="00835574" w14:paraId="0B8BA6FF"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79BB8BB0"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Beneficiarios</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2AEAC71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0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E4836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924CF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9FF9F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468A0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2AC31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r>
      <w:tr w:rsidR="00835574" w:rsidRPr="00835574" w14:paraId="46EF0D40"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center"/>
          </w:tcPr>
          <w:p w14:paraId="0792435B"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Promedio de años de servicio (trabajadores activos)</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tcPr>
          <w:p w14:paraId="112EAED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xml:space="preserve">10.83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F5103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27CFA9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10.83</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A5FAB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10.83</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9067D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10.83</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EBAA4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10.83</w:t>
            </w:r>
          </w:p>
        </w:tc>
      </w:tr>
      <w:tr w:rsidR="00835574" w:rsidRPr="00835574" w14:paraId="5A52FDFC"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DC2C56"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Aportación individual al plan de pensión como % del salario *</w:t>
            </w:r>
          </w:p>
        </w:tc>
        <w:tc>
          <w:tcPr>
            <w:tcW w:w="773"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14:paraId="289DC22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9.00%</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2DFCA7"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426C2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3B298B"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9.00%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B5A77F"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E75921"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9.00%</w:t>
            </w:r>
          </w:p>
        </w:tc>
      </w:tr>
      <w:tr w:rsidR="00835574" w:rsidRPr="00835574" w14:paraId="3B9CB922"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CE692D3"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9B802A"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Sobre nómina</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90D175"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C03545"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Sobre nómina</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861A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Sobre nómina</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56DF04"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Sobre nómina</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B681C1" w14:textId="77777777" w:rsidR="00873F73" w:rsidRPr="00835574" w:rsidRDefault="00873F73" w:rsidP="00873F73">
            <w:pPr>
              <w:shd w:val="clear" w:color="auto" w:fill="FFFFFF" w:themeFill="background1"/>
              <w:spacing w:after="0"/>
              <w:jc w:val="center"/>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Sobre nómina</w:t>
            </w:r>
          </w:p>
        </w:tc>
      </w:tr>
      <w:tr w:rsidR="00835574" w:rsidRPr="00835574" w14:paraId="3E588108"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677161C"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97F1F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activos</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2A304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68AD954"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activos</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03493"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activos</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ADA2B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activos</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788D0" w14:textId="77777777" w:rsidR="00873F73" w:rsidRPr="00835574" w:rsidRDefault="00873F73" w:rsidP="00873F73">
            <w:pPr>
              <w:shd w:val="clear" w:color="auto" w:fill="FFFFFF" w:themeFill="background1"/>
              <w:spacing w:after="0"/>
              <w:jc w:val="center"/>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activos</w:t>
            </w:r>
          </w:p>
        </w:tc>
      </w:tr>
      <w:tr w:rsidR="00835574" w:rsidRPr="00835574" w14:paraId="30D8A962"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45AF834"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Aportación del ente público al plan de pensión como % del salario *</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F0DD1A"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35EEBBE"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B867B7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3B5ADA"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190FC5"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7EE9B5"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r>
      <w:tr w:rsidR="00835574" w:rsidRPr="00835574" w14:paraId="24B3228F"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2E6EC46"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02DA78"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Sobre nómina pensionados</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8431C5"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2762D01"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Sobre nómina pensionados</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A9626B"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Sobre nómina pensionados</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3181A7"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Sobre nómina pensionados</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47DB42" w14:textId="77777777" w:rsidR="00873F73" w:rsidRPr="00835574" w:rsidRDefault="00873F73" w:rsidP="00873F73">
            <w:pPr>
              <w:shd w:val="clear" w:color="auto" w:fill="FFFFFF" w:themeFill="background1"/>
              <w:spacing w:after="0"/>
              <w:jc w:val="center"/>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Sobre nómina pensionados</w:t>
            </w:r>
          </w:p>
        </w:tc>
      </w:tr>
      <w:tr w:rsidR="00835574" w:rsidRPr="00835574" w14:paraId="25E97618"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41888B"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FDFA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9D3515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AE3A037"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86275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9FE16A"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976AD0"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18.50%</w:t>
            </w:r>
          </w:p>
        </w:tc>
      </w:tr>
      <w:tr w:rsidR="00835574" w:rsidRPr="00835574" w14:paraId="602378FA"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6449F8"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Crecimiento esperado de los pensionados y jubilados (como %)</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765B0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10.60%</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98DF9C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6B3F48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20.08%</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B993F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72.02%</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E8D9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NA</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3C089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24.25%</w:t>
            </w:r>
          </w:p>
        </w:tc>
      </w:tr>
      <w:tr w:rsidR="00835574" w:rsidRPr="00835574" w14:paraId="71E6FA51"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BE4F818"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Crecimiento esperado de los activos (como %)</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0E926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0.1856%</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14340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E1D58A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0.1856%</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DF8DA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4B4C4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0.1856%</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B9907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0.1856%</w:t>
            </w:r>
          </w:p>
        </w:tc>
      </w:tr>
      <w:tr w:rsidR="00835574" w:rsidRPr="00835574" w14:paraId="72C3EE7A"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51DE944"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de Jubilación o Pensión*</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8AA8A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54.75</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D74C51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3B8F21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56.04</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2B6EA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54.64</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41263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64815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54.76</w:t>
            </w:r>
          </w:p>
        </w:tc>
      </w:tr>
      <w:tr w:rsidR="00835574" w:rsidRPr="00835574" w14:paraId="18EFFB1C"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1A0BDC6"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Esperanza de vida</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D2DB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25.87</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EFCF0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E6EC1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25.76</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FBAA9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26.77</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CCF98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8D047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26.06</w:t>
            </w:r>
          </w:p>
        </w:tc>
      </w:tr>
      <w:tr w:rsidR="00835574" w:rsidRPr="00835574" w14:paraId="072C5072"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81110B"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Ingresos del Fondo</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77A03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34A053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9B7FC4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5368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1AE9D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89812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086ADB80"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16DD63"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Ingresos Anuales al Fondo de Pensiones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37ECB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843,445,893.10</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E81FD5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E0643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843,445,893.10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7196F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843,445,893.10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B9DE7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843,445,893.10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987FC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843,445,893.10</w:t>
            </w:r>
          </w:p>
        </w:tc>
      </w:tr>
      <w:tr w:rsidR="00835574" w:rsidRPr="00835574" w14:paraId="307A34D8"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6737EB1"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Nómina anual</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D000D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1BC852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4D159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2155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38F85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9B8CE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129E5709"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4A06BA"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F0F99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2,608,765,889.16</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4A4F96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0046B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2,608,765,889.16</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A6E9E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2,608,765,889.16</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68E91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2,608,765,889.16</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C2CF7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2,608,765,889.16</w:t>
            </w:r>
          </w:p>
        </w:tc>
      </w:tr>
      <w:tr w:rsidR="00835574" w:rsidRPr="00835574" w14:paraId="356D3387"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F7DB455"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lastRenderedPageBreak/>
              <w:t>Pensionados y Jubilados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C065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1,064,095,152.63</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50BC27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F305C7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6,169,714.80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58507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59,246,041.20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14D70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89040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1,129,510,908.63</w:t>
            </w:r>
          </w:p>
        </w:tc>
      </w:tr>
      <w:tr w:rsidR="00835574" w:rsidRPr="00835574" w14:paraId="664AA9A2"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95E8A20"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Beneficiarios de Pensionados y Jubilados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E5BD6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A0C33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46E96F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21DC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5C4C6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EBFCB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r>
      <w:tr w:rsidR="00835574" w:rsidRPr="00835574" w14:paraId="3BD54C3B"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95A8BAF"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Monto mensual por pensión</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AD9EA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CAB491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220304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E90FC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0FF68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72593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7A2A0149"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0DA353A"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Máximo</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38919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29,289.12</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B371FE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CD0E85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12,809.91</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6E4D9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13,767.72</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A44B1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E2718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29,289.12</w:t>
            </w:r>
          </w:p>
        </w:tc>
      </w:tr>
      <w:tr w:rsidR="00835574" w:rsidRPr="00835574" w14:paraId="09ED09A9"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804508"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Mínimo</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E512F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6,240.95</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150CA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945A9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4,290.03</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63EB2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4,255.51</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404B7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9D204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4,255.51</w:t>
            </w:r>
          </w:p>
        </w:tc>
      </w:tr>
      <w:tr w:rsidR="00835574" w:rsidRPr="00835574" w14:paraId="16EFAE9F"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5984A25"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Promedio</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615EA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25,021.05</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8793E7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E5EBA4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4,549.94</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D9F4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4,830.89</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73F39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555D7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20,116.67</w:t>
            </w:r>
          </w:p>
        </w:tc>
      </w:tr>
      <w:tr w:rsidR="00835574" w:rsidRPr="00835574" w14:paraId="1C63F491"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0ABE11"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Monto de la reserva</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2A3D6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305,162,842.74</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E82B79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C9080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45999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20D27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3654E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305,162,842.74</w:t>
            </w:r>
          </w:p>
        </w:tc>
      </w:tr>
      <w:tr w:rsidR="00835574" w:rsidRPr="00835574" w14:paraId="7817F600"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AA1F91"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Valor presente de las obligaciones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89C83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ED1DF1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6910C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B6B4A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3D7A9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95638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6AF650E6"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455489"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Pensiones y Jubilaciones en curso de pago</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C8F36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16,741,351,080.52</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82E4B8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3151C3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78,989,112.04</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E93CF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785,114,236.55</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D452F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352,879,728.94</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7F2D3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17,958,334,158.05</w:t>
            </w:r>
          </w:p>
        </w:tc>
      </w:tr>
      <w:tr w:rsidR="00835574" w:rsidRPr="00835574" w14:paraId="3EA482C5"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68A710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Generación actual</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1FF65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37,557,723,458.69</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3A095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8484F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705,751,480.78</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ED494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1,989,211,491.60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20EAF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1,812,813,567.72</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E27B6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42,065,499,998.79</w:t>
            </w:r>
          </w:p>
        </w:tc>
      </w:tr>
      <w:tr w:rsidR="00835574" w:rsidRPr="00835574" w14:paraId="1C816324"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839986E"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Generaciones futuras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999E2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29,919,595,602.61</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45466F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4FE67F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2,051,265,942.40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E874E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3,508,300,387.34</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D8D46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2,090,457,285.70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582B4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37,569,619,218.05</w:t>
            </w:r>
          </w:p>
        </w:tc>
      </w:tr>
      <w:tr w:rsidR="00835574" w:rsidRPr="00835574" w14:paraId="6B312610"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C52AD4"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Valor presente de las contribuciones asociadas a los sueldos futuros de cotización 2.00%</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08DD2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41A299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AB9832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EA5DF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22C56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FC255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27EC59AB"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8E1B23"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Generación actual</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3FA2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2,818,034,246.52</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08FE42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31C64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40,726,768.99</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8F7AA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143,983,023.27</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61976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112,395,983.34</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FB68B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3,115,140,022.12</w:t>
            </w:r>
          </w:p>
        </w:tc>
      </w:tr>
      <w:tr w:rsidR="00835574" w:rsidRPr="00835574" w14:paraId="03CFBB6F"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38C944"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Generaciones futuras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8E0ED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6,314,327,328.25</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6DD3A5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013A6F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432,905,737.42</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FA4F7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740,402,955.50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C859D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441,176,804.09</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2C128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7,928,812,825.26</w:t>
            </w:r>
          </w:p>
        </w:tc>
      </w:tr>
      <w:tr w:rsidR="00835574" w:rsidRPr="00835574" w14:paraId="5E862145"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3564480"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Valor presente de aportaciones futuras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8EBEA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235434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0627AC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0D979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7D272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544FC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2D3C170F"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B73DF0"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Generación actual</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D0134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11,013,358,527.33</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38064A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A16C8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159,167,160.27</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D2A1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562,710,215.14</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D3C2C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439,262,675.08</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E3A4F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12,174,498,577.81</w:t>
            </w:r>
          </w:p>
        </w:tc>
      </w:tr>
      <w:tr w:rsidR="00835574" w:rsidRPr="00835574" w14:paraId="70233833"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54D5C02"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Generaciones futuras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CFB67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15,957,269,709.11</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297788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F88F1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1,094,018,927.35</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96455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1,871,111,369.45</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EEE83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1,114,921,176.29</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50002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20,037,321,182.20</w:t>
            </w:r>
          </w:p>
        </w:tc>
      </w:tr>
      <w:tr w:rsidR="00835574" w:rsidRPr="00835574" w14:paraId="47C0D7BF"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23000C7"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Otros Ingresos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9A9CB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7A40A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10F981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4A9E7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AF367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C871C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r>
      <w:tr w:rsidR="00835574" w:rsidRPr="00835574" w14:paraId="056A6FF1"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C21A41C"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Déficit/superávit actuarial</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A1AB5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36713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DA2DBB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D4024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682ED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DAC2A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7F461A5C"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F5519E9"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Generación actual</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CFE3A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(40,162,518,922.63)</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85E2A2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F831C5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(584,846,663.56)</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E3F69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(2,067,632,489.74)</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782B1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(1,614,034,638.24)</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1AE81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(44,429,032,714.16)</w:t>
            </w:r>
          </w:p>
        </w:tc>
      </w:tr>
      <w:tr w:rsidR="00835574" w:rsidRPr="00835574" w14:paraId="0848C185"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F6E261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Generaciones futuras</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B93FE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(7,647,998,565.25)</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0D5C6E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43B7BA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(524,341,277.63)</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04A92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(896,786,062.39)</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A854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(534,359,305.32)</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374B1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(9,603,485,210.59)</w:t>
            </w:r>
          </w:p>
        </w:tc>
      </w:tr>
      <w:tr w:rsidR="00835574" w:rsidRPr="00835574" w14:paraId="4A954A4C"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34D113"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Periodo de suficiencia</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45A3DE"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AC269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50FF0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55057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F701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3CBFC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r>
      <w:tr w:rsidR="00835574" w:rsidRPr="00835574" w14:paraId="52B6D9E9"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C5010C3"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Año de descapitalización</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9FE9CD"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FD91299"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5AB491C"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205C44"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804CCE"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0F6C35"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r>
      <w:tr w:rsidR="00835574" w:rsidRPr="00835574" w14:paraId="644A09CB"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BD2A360"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Tasa de rendimiento</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D26AA5"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5234CD"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C075DC"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766D83"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540658"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8429F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r>
      <w:tr w:rsidR="00835574" w:rsidRPr="00835574" w14:paraId="391EB8CD"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66ABA2"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Estudio actuarial</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D31523"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4DE846F"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8B49F4"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A0CEE4"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2DAB9E"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1D750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r>
      <w:tr w:rsidR="00835574" w:rsidRPr="00835574" w14:paraId="6B940B1E"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A4599A"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Año de elaboración del estudio actuarial</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0E4D93"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5C2D81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EE7F1F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39AEBA"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0D8EE"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BF079D"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2022</w:t>
            </w:r>
          </w:p>
        </w:tc>
      </w:tr>
      <w:tr w:rsidR="00835574" w:rsidRPr="00835574" w14:paraId="3D9FDCE3" w14:textId="77777777" w:rsidTr="0054060B">
        <w:trPr>
          <w:trHeight w:val="233"/>
        </w:trPr>
        <w:tc>
          <w:tcPr>
            <w:tcW w:w="9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97B6C1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Empresa que elaboró el estudio actuarial</w:t>
            </w:r>
          </w:p>
        </w:tc>
        <w:tc>
          <w:tcPr>
            <w:tcW w:w="7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EF9C3A"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 Actuariales del Norte S. C.</w:t>
            </w:r>
          </w:p>
        </w:tc>
        <w:tc>
          <w:tcPr>
            <w:tcW w:w="38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495B6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6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443B7D"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 Actuariales del Norte, S. C.</w:t>
            </w:r>
          </w:p>
        </w:tc>
        <w:tc>
          <w:tcPr>
            <w:tcW w:w="7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AADF4F"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 Actuariales del Norte, S. C.</w:t>
            </w:r>
          </w:p>
        </w:tc>
        <w:tc>
          <w:tcPr>
            <w:tcW w:w="7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45BCAE"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 Actuariales del Norte, S. C.</w:t>
            </w:r>
          </w:p>
        </w:tc>
        <w:tc>
          <w:tcPr>
            <w:tcW w:w="70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643707"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 Actuariales del Norte S. C.</w:t>
            </w:r>
          </w:p>
        </w:tc>
      </w:tr>
    </w:tbl>
    <w:p w14:paraId="4B3C410A" w14:textId="77777777" w:rsidR="00873F73" w:rsidRPr="003E0691" w:rsidRDefault="00873F73" w:rsidP="00873F73">
      <w:pPr>
        <w:pStyle w:val="TableParagraph"/>
        <w:ind w:left="709" w:hanging="709"/>
        <w:jc w:val="left"/>
        <w:rPr>
          <w:rFonts w:asciiTheme="minorHAnsi" w:hAnsiTheme="minorHAnsi" w:cstheme="minorHAnsi"/>
          <w:i/>
          <w:iCs/>
          <w:sz w:val="18"/>
          <w:szCs w:val="18"/>
        </w:rPr>
      </w:pPr>
      <w:r w:rsidRPr="003E0691">
        <w:rPr>
          <w:rFonts w:asciiTheme="minorHAnsi" w:hAnsiTheme="minorHAnsi" w:cstheme="minorHAnsi"/>
          <w:b/>
          <w:bCs/>
          <w:i/>
          <w:iCs/>
          <w:sz w:val="18"/>
          <w:szCs w:val="18"/>
        </w:rPr>
        <w:t>Fuente:</w:t>
      </w:r>
      <w:r w:rsidRPr="003E0691">
        <w:rPr>
          <w:rFonts w:asciiTheme="minorHAnsi" w:hAnsiTheme="minorHAnsi" w:cstheme="minorHAnsi"/>
          <w:i/>
          <w:iCs/>
          <w:sz w:val="18"/>
          <w:szCs w:val="18"/>
        </w:rPr>
        <w:t xml:space="preserve"> Oficina de Pensiones del Estado de Oaxaca.</w:t>
      </w:r>
    </w:p>
    <w:p w14:paraId="46F3C97C" w14:textId="30473A42" w:rsidR="00375256" w:rsidRPr="00835574" w:rsidRDefault="00375256" w:rsidP="00421E8E">
      <w:pPr>
        <w:pStyle w:val="Sinespaciado"/>
        <w:jc w:val="both"/>
        <w:rPr>
          <w:b/>
          <w:bCs/>
        </w:rPr>
      </w:pPr>
    </w:p>
    <w:tbl>
      <w:tblPr>
        <w:tblW w:w="5056" w:type="pct"/>
        <w:tblLayout w:type="fixed"/>
        <w:tblCellMar>
          <w:left w:w="70" w:type="dxa"/>
          <w:right w:w="70" w:type="dxa"/>
        </w:tblCellMar>
        <w:tblLook w:val="00E0" w:firstRow="1" w:lastRow="1" w:firstColumn="1" w:lastColumn="0" w:noHBand="0" w:noVBand="0"/>
      </w:tblPr>
      <w:tblGrid>
        <w:gridCol w:w="1681"/>
        <w:gridCol w:w="1402"/>
        <w:gridCol w:w="703"/>
        <w:gridCol w:w="1262"/>
        <w:gridCol w:w="1184"/>
        <w:gridCol w:w="1418"/>
        <w:gridCol w:w="1277"/>
      </w:tblGrid>
      <w:tr w:rsidR="00835574" w:rsidRPr="00835574" w14:paraId="061D67C1" w14:textId="77777777" w:rsidTr="00536713">
        <w:trPr>
          <w:trHeight w:val="510"/>
          <w:tblHeader/>
        </w:trPr>
        <w:tc>
          <w:tcPr>
            <w:tcW w:w="5000" w:type="pct"/>
            <w:gridSpan w:val="7"/>
            <w:tcBorders>
              <w:top w:val="single" w:sz="4" w:space="0" w:color="auto"/>
              <w:left w:val="single" w:sz="4" w:space="0" w:color="auto"/>
              <w:right w:val="single" w:sz="4" w:space="0" w:color="auto"/>
            </w:tcBorders>
            <w:shd w:val="clear" w:color="auto" w:fill="A8D08D" w:themeFill="accent6" w:themeFillTint="99"/>
            <w:vAlign w:val="center"/>
          </w:tcPr>
          <w:p w14:paraId="1683335E" w14:textId="77777777" w:rsidR="00873F73" w:rsidRPr="00835574" w:rsidRDefault="00873F73" w:rsidP="00873F73">
            <w:pPr>
              <w:spacing w:after="0" w:line="256" w:lineRule="auto"/>
              <w:jc w:val="center"/>
              <w:rPr>
                <w:b/>
                <w:bCs/>
                <w:i/>
                <w:iCs/>
                <w:lang w:eastAsia="es-MX" w:bidi="es-MX"/>
              </w:rPr>
            </w:pPr>
            <w:r w:rsidRPr="00835574">
              <w:rPr>
                <w:b/>
                <w:bCs/>
                <w:i/>
                <w:iCs/>
                <w:lang w:eastAsia="es-MX" w:bidi="es-MX"/>
              </w:rPr>
              <w:lastRenderedPageBreak/>
              <w:t>Fondo de Pensiones de los Integrantes de las Instituciones Policiales de la Secretaría de Seguridad Pública del Gobierno del Estado de Oaxaca</w:t>
            </w:r>
          </w:p>
          <w:p w14:paraId="42565C3D" w14:textId="77777777" w:rsidR="00873F73" w:rsidRPr="00835574" w:rsidRDefault="00873F73" w:rsidP="00873F73">
            <w:pPr>
              <w:spacing w:after="0" w:line="256" w:lineRule="auto"/>
              <w:jc w:val="center"/>
              <w:rPr>
                <w:rFonts w:ascii="Calibri" w:eastAsia="Calibri" w:hAnsi="Calibri" w:cs="Times New Roman"/>
                <w:b/>
                <w:bCs/>
                <w:i/>
                <w:iCs/>
                <w:lang w:eastAsia="es-MX" w:bidi="es-MX"/>
              </w:rPr>
            </w:pPr>
            <w:r w:rsidRPr="00835574">
              <w:rPr>
                <w:b/>
                <w:bCs/>
                <w:i/>
                <w:iCs/>
                <w:lang w:eastAsia="es-MX" w:bidi="es-MX"/>
              </w:rPr>
              <w:t>Informe sobre Estudios Actuariales – LDF</w:t>
            </w:r>
          </w:p>
        </w:tc>
      </w:tr>
      <w:tr w:rsidR="00835574" w:rsidRPr="00835574" w14:paraId="7BA92069" w14:textId="77777777" w:rsidTr="00536713">
        <w:trPr>
          <w:trHeight w:val="429"/>
          <w:tblHeader/>
        </w:trPr>
        <w:tc>
          <w:tcPr>
            <w:tcW w:w="942"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3122178E" w14:textId="77777777" w:rsidR="00873F73" w:rsidRPr="00835574" w:rsidRDefault="00873F73" w:rsidP="00873F73">
            <w:pPr>
              <w:spacing w:after="0"/>
              <w:jc w:val="center"/>
              <w:rPr>
                <w:rFonts w:ascii="Arial" w:eastAsia="Times New Roman" w:hAnsi="Arial" w:cs="Arial"/>
                <w:b/>
                <w:bCs/>
                <w:sz w:val="13"/>
                <w:szCs w:val="13"/>
                <w:lang w:eastAsia="es-MX"/>
              </w:rPr>
            </w:pPr>
          </w:p>
        </w:tc>
        <w:tc>
          <w:tcPr>
            <w:tcW w:w="785"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tcPr>
          <w:p w14:paraId="03EE5E28" w14:textId="77777777" w:rsidR="00873F73" w:rsidRPr="00835574" w:rsidRDefault="00873F73" w:rsidP="00873F73">
            <w:pPr>
              <w:spacing w:after="0"/>
              <w:jc w:val="center"/>
              <w:rPr>
                <w:rFonts w:ascii="Arial" w:eastAsia="Times New Roman" w:hAnsi="Arial" w:cs="Arial"/>
                <w:b/>
                <w:bCs/>
                <w:sz w:val="13"/>
                <w:szCs w:val="13"/>
                <w:lang w:eastAsia="es-MX"/>
              </w:rPr>
            </w:pPr>
          </w:p>
          <w:p w14:paraId="6A9EE784"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Pensiones y jubilaciones</w:t>
            </w:r>
          </w:p>
        </w:tc>
        <w:tc>
          <w:tcPr>
            <w:tcW w:w="394"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6D249BA0"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Salud</w:t>
            </w:r>
          </w:p>
        </w:tc>
        <w:tc>
          <w:tcPr>
            <w:tcW w:w="707"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30733FD0"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Riesgos de trabajo</w:t>
            </w:r>
          </w:p>
        </w:tc>
        <w:tc>
          <w:tcPr>
            <w:tcW w:w="663"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5063DD9C"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Invalidez y vida</w:t>
            </w:r>
          </w:p>
        </w:tc>
        <w:tc>
          <w:tcPr>
            <w:tcW w:w="794"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tcPr>
          <w:p w14:paraId="22399BB7"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Otras prestaciones sociales</w:t>
            </w:r>
          </w:p>
        </w:tc>
        <w:tc>
          <w:tcPr>
            <w:tcW w:w="715" w:type="pct"/>
            <w:tcBorders>
              <w:top w:val="single" w:sz="4" w:space="0" w:color="auto"/>
              <w:left w:val="single" w:sz="4" w:space="0" w:color="auto"/>
              <w:bottom w:val="single" w:sz="4" w:space="0" w:color="000000" w:themeColor="text1"/>
              <w:right w:val="single" w:sz="4" w:space="0" w:color="auto"/>
            </w:tcBorders>
            <w:shd w:val="clear" w:color="auto" w:fill="A8D08D" w:themeFill="accent6" w:themeFillTint="99"/>
            <w:vAlign w:val="center"/>
          </w:tcPr>
          <w:p w14:paraId="1717807E" w14:textId="77777777" w:rsidR="00873F73" w:rsidRPr="00835574" w:rsidRDefault="00873F73" w:rsidP="00873F73">
            <w:pPr>
              <w:spacing w:after="0"/>
              <w:jc w:val="center"/>
              <w:rPr>
                <w:rFonts w:ascii="Arial" w:eastAsia="Times New Roman" w:hAnsi="Arial" w:cs="Arial"/>
                <w:b/>
                <w:bCs/>
                <w:sz w:val="13"/>
                <w:szCs w:val="13"/>
                <w:lang w:eastAsia="es-MX"/>
              </w:rPr>
            </w:pPr>
            <w:r w:rsidRPr="00835574">
              <w:rPr>
                <w:rFonts w:ascii="Calibri" w:eastAsia="Calibri" w:hAnsi="Calibri" w:cs="Times New Roman"/>
                <w:b/>
                <w:bCs/>
                <w:i/>
                <w:iCs/>
                <w:lang w:eastAsia="es-MX"/>
              </w:rPr>
              <w:t>Total</w:t>
            </w:r>
          </w:p>
        </w:tc>
      </w:tr>
      <w:tr w:rsidR="00835574" w:rsidRPr="00835574" w14:paraId="29B5A1B5"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24D56A8"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Tipo de Sistema</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021DE9"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84233EF"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ECF2BD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D0E28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EC9E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3941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6EAD5F40"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0964B0"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 o Fondo general para trabajadores del estado o municipio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6875CC"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7C0659"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0C6C1C"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9C379A"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0DE915"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B3B82D"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Prestación Laboral</w:t>
            </w:r>
          </w:p>
        </w:tc>
      </w:tr>
      <w:tr w:rsidR="00835574" w:rsidRPr="00835574" w14:paraId="2E73F44E"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2C1057"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 Contribución definida o Mixto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7B974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671EB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812147F"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A9009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885A07"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F288B8"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Beneficio Definido</w:t>
            </w:r>
          </w:p>
        </w:tc>
      </w:tr>
      <w:tr w:rsidR="00835574" w:rsidRPr="00835574" w14:paraId="64A713FA"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7018B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Población afiliada</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722B02"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AE8BA7B"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D46B07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ED80E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77017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814E5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r>
      <w:tr w:rsidR="00835574" w:rsidRPr="00835574" w14:paraId="60BB7504"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8B65CD2"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13DFE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6,182</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0822F7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D647E3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6,182</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4AD97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6,182</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85DA7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6,182</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1AC31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6,182</w:t>
            </w:r>
          </w:p>
        </w:tc>
      </w:tr>
      <w:tr w:rsidR="00835574" w:rsidRPr="00835574" w14:paraId="60145219"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284F99D"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máxima</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68C9B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91018F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99BD77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A5A82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2FC0C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041E8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w:t>
            </w:r>
          </w:p>
        </w:tc>
      </w:tr>
      <w:tr w:rsidR="00835574" w:rsidRPr="00835574" w14:paraId="1341193C"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69E6B3E"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mínima</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84DB0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D45E0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2850B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AD675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61DC1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45C27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w:t>
            </w:r>
          </w:p>
        </w:tc>
      </w:tr>
      <w:tr w:rsidR="00835574" w:rsidRPr="00835574" w14:paraId="0E071E3A"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371BE68"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promedio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A26AA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41</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E3795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3B1E5A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41</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C5021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41</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EE7AA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41</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E374D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41</w:t>
            </w:r>
          </w:p>
        </w:tc>
      </w:tr>
      <w:tr w:rsidR="00835574" w:rsidRPr="00835574" w14:paraId="19B07033"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21F45AE"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Pensionados y Jubilados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C0EDF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79</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875063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C7BAF9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42</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0BFE4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13</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26120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8F620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134</w:t>
            </w:r>
          </w:p>
        </w:tc>
      </w:tr>
      <w:tr w:rsidR="00835574" w:rsidRPr="00835574" w14:paraId="509B2182"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0CD1D36"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máxima</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65B6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87</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4EA1B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9ED50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73</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E53F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79</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C7109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D4CBC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87</w:t>
            </w:r>
          </w:p>
        </w:tc>
      </w:tr>
      <w:tr w:rsidR="00835574" w:rsidRPr="00835574" w14:paraId="34AF61A5"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614E51"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mínima</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066E5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66</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C2DAB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D4C73C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21</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03152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48</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4E596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C9542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21</w:t>
            </w:r>
          </w:p>
        </w:tc>
      </w:tr>
      <w:tr w:rsidR="00835574" w:rsidRPr="00835574" w14:paraId="25081D33"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41D739"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promedio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EA8F3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73</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884B48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60D80F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52</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1893B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E7981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C3790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65</w:t>
            </w:r>
          </w:p>
        </w:tc>
      </w:tr>
      <w:tr w:rsidR="00835574" w:rsidRPr="00835574" w14:paraId="621AD2BB"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35504D2"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Beneficiarios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A6B738"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9CFAB6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EEF298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1989E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BEC3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19B2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r>
      <w:tr w:rsidR="00835574" w:rsidRPr="00835574" w14:paraId="76EC04B1"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A13316A"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Promedio de años de servicio (trabajadores activos)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5B956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12.22</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D7FB83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7C9B12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12.22</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9DE2F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12.22</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9B1D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12.22</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C86C3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12.22</w:t>
            </w:r>
          </w:p>
        </w:tc>
      </w:tr>
      <w:tr w:rsidR="00835574" w:rsidRPr="00835574" w14:paraId="6225B095"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77CF99A"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Aportación individual al plan de pensión como % del salario *</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807A29" w14:textId="449E40F2"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t>Pensionado: 1.0%</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DB625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588FB9" w14:textId="366C4B6E"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t>Pensionado: 1.0%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8EB088" w14:textId="03EDEC17"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t>Pensionado: 1.0%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1722DB" w14:textId="2575D670"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t>Pensionado: 1.0%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A0F00B" w14:textId="628592D4"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b/>
                <w:i/>
                <w:iCs/>
                <w:sz w:val="14"/>
                <w:szCs w:val="14"/>
                <w:lang w:eastAsia="es-MX"/>
              </w:rPr>
              <w:t>Activo</w:t>
            </w:r>
            <w:r w:rsidRPr="00835574">
              <w:rPr>
                <w:rFonts w:ascii="Calibri" w:eastAsia="Calibri" w:hAnsi="Calibri" w:cs="Times New Roman"/>
                <w:i/>
                <w:iCs/>
                <w:sz w:val="14"/>
                <w:szCs w:val="14"/>
                <w:lang w:eastAsia="es-MX"/>
              </w:rPr>
              <w:t>:</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r>
            <w:r w:rsidR="00873F73" w:rsidRPr="00835574">
              <w:rPr>
                <w:rFonts w:ascii="Calibri" w:eastAsia="Calibri" w:hAnsi="Calibri" w:cs="Times New Roman"/>
                <w:b/>
                <w:i/>
                <w:iCs/>
                <w:sz w:val="14"/>
                <w:szCs w:val="14"/>
                <w:lang w:eastAsia="es-MX"/>
              </w:rPr>
              <w:t>Pensionado</w:t>
            </w:r>
            <w:r w:rsidR="00873F73" w:rsidRPr="00835574">
              <w:rPr>
                <w:rFonts w:ascii="Calibri" w:eastAsia="Calibri" w:hAnsi="Calibri" w:cs="Times New Roman"/>
                <w:i/>
                <w:iCs/>
                <w:sz w:val="14"/>
                <w:szCs w:val="14"/>
                <w:lang w:eastAsia="es-MX"/>
              </w:rPr>
              <w:t>: 1.0%</w:t>
            </w:r>
          </w:p>
        </w:tc>
      </w:tr>
      <w:tr w:rsidR="00835574" w:rsidRPr="00835574" w14:paraId="7321E3FC"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F4351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Aportación del ente público al plan de pensión como % del salario *</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A6BCCD" w14:textId="3CDDBAA1"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t>Pensionado: 2.0%</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8A5FCC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2E0601A" w14:textId="72DD0DE2"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t>Pensionado: 2.0%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D38330" w14:textId="2473327F"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t>Pensionado: 2.0%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5C95B1" w14:textId="6D5CEDBF"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t>Pensionado: 2.0%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E76531" w14:textId="2AD53177" w:rsidR="00873F73" w:rsidRPr="00835574" w:rsidRDefault="0035468A"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b/>
                <w:i/>
                <w:iCs/>
                <w:sz w:val="14"/>
                <w:szCs w:val="14"/>
                <w:lang w:eastAsia="es-MX"/>
              </w:rPr>
              <w:t>Activo</w:t>
            </w:r>
            <w:r w:rsidRPr="00835574">
              <w:rPr>
                <w:rFonts w:ascii="Calibri" w:eastAsia="Calibri" w:hAnsi="Calibri" w:cs="Times New Roman"/>
                <w:i/>
                <w:iCs/>
                <w:sz w:val="14"/>
                <w:szCs w:val="14"/>
                <w:lang w:eastAsia="es-MX"/>
              </w:rPr>
              <w:t>:</w:t>
            </w:r>
            <w:r w:rsidR="00873F73" w:rsidRPr="00835574">
              <w:rPr>
                <w:rFonts w:ascii="Calibri" w:eastAsia="Calibri" w:hAnsi="Calibri" w:cs="Times New Roman"/>
                <w:i/>
                <w:iCs/>
                <w:sz w:val="14"/>
                <w:szCs w:val="14"/>
                <w:lang w:eastAsia="es-MX"/>
              </w:rPr>
              <w:t xml:space="preserve"> 2.0%</w:t>
            </w:r>
            <w:r w:rsidR="00873F73" w:rsidRPr="00835574">
              <w:rPr>
                <w:rFonts w:ascii="Calibri" w:eastAsia="Calibri" w:hAnsi="Calibri" w:cs="Times New Roman"/>
                <w:i/>
                <w:iCs/>
                <w:sz w:val="14"/>
                <w:szCs w:val="14"/>
                <w:lang w:eastAsia="es-MX"/>
              </w:rPr>
              <w:br/>
            </w:r>
            <w:r w:rsidR="00873F73" w:rsidRPr="00835574">
              <w:rPr>
                <w:rFonts w:ascii="Calibri" w:eastAsia="Calibri" w:hAnsi="Calibri" w:cs="Times New Roman"/>
                <w:b/>
                <w:i/>
                <w:iCs/>
                <w:sz w:val="14"/>
                <w:szCs w:val="14"/>
                <w:lang w:eastAsia="es-MX"/>
              </w:rPr>
              <w:t>Pensionado</w:t>
            </w:r>
            <w:r w:rsidR="00873F73" w:rsidRPr="00835574">
              <w:rPr>
                <w:rFonts w:ascii="Calibri" w:eastAsia="Calibri" w:hAnsi="Calibri" w:cs="Times New Roman"/>
                <w:i/>
                <w:iCs/>
                <w:sz w:val="14"/>
                <w:szCs w:val="14"/>
                <w:lang w:eastAsia="es-MX"/>
              </w:rPr>
              <w:t>: 2.0%</w:t>
            </w:r>
          </w:p>
        </w:tc>
      </w:tr>
      <w:tr w:rsidR="00835574" w:rsidRPr="00835574" w14:paraId="138718D6"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6343CEB"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Crecimiento esperado de los pensionados y jubilados (como %)</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1205A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40.51%</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706C8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F00571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21.43%</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1A550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276.03%</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3D3D3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NA</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6360D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57.38%</w:t>
            </w:r>
          </w:p>
        </w:tc>
      </w:tr>
      <w:tr w:rsidR="00835574" w:rsidRPr="00835574" w14:paraId="6184FEB1"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0D07F77"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Crecimiento esperado de los activos (como %)</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B6DB2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0.1952%</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019E9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42CD3C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0.1952%</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C54E7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0.1952%</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60D90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0.1952%</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73475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0.1952%</w:t>
            </w:r>
          </w:p>
        </w:tc>
      </w:tr>
      <w:tr w:rsidR="00835574" w:rsidRPr="00835574" w14:paraId="01EA96E2"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2BB294"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Edad de Jubilación o Pensión</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6EBAC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71.77</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3FF093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10E53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50.93</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37045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59.77</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AF4E6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5FD7E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64.07</w:t>
            </w:r>
          </w:p>
        </w:tc>
      </w:tr>
      <w:tr w:rsidR="00835574" w:rsidRPr="00835574" w14:paraId="0A3CDE1D"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FAB070A"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Esperanza de vida</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39C12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13.29</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5B4FB8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B22EAD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29.49</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9766A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21.97</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947D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56E28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19.21</w:t>
            </w:r>
          </w:p>
        </w:tc>
      </w:tr>
      <w:tr w:rsidR="00835574" w:rsidRPr="00835574" w14:paraId="5C85F36B"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C21B143"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Ingresos del Fondo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9A300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D32655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165EBA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0D6E7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5358B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7F58F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36876C5E"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9D84656"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Ingresos Anuales al Fondo de Pensiones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0F0B6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15,562,753.24</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34AD0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DDE99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15,562,753.24</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57F56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15,562,753.24</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DD08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15,562,753.24</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E489C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15,562,753.24</w:t>
            </w:r>
          </w:p>
        </w:tc>
      </w:tr>
      <w:tr w:rsidR="00835574" w:rsidRPr="00835574" w14:paraId="21E2D4D2"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4552566"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Nómina anual</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8865F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8BC792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802DB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65FAC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527A8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33B63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7BD24968"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60B389C"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Activos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87749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379,382,398.80</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29190D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56F425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379,382,398.80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516F4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379,382,398.80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25F46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379,382,398.80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1E849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379,382,398.80</w:t>
            </w:r>
          </w:p>
        </w:tc>
      </w:tr>
      <w:tr w:rsidR="00835574" w:rsidRPr="00835574" w14:paraId="525E8E63"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571AD5"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Pensionados y Jubilados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AD478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4,092,244.56</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F9ED4D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B576C0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2,007,383.76</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D75BE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651,665.28</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ED51D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6A2D7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6,751,293.60</w:t>
            </w:r>
          </w:p>
        </w:tc>
      </w:tr>
      <w:tr w:rsidR="00835574" w:rsidRPr="00835574" w14:paraId="598E4012"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0893E3D"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Beneficiarios de Pensionados y Jubilados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256E9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30FAAA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B12E42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7359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60772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C869C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r>
      <w:tr w:rsidR="00835574" w:rsidRPr="00835574" w14:paraId="3225F5FE"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13CD166"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Monto mensual por pensión</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3A0E3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4158B6"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8F4FF1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EA8E9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DE9A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AAD7C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r>
      <w:tr w:rsidR="00835574" w:rsidRPr="00835574" w14:paraId="4B2D3E89"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55AEA49"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Máximo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DAEAA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5,042.26</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6802E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944E8C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4,732.48</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A4153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4,476.15</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E5B1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8923B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5,042.26</w:t>
            </w:r>
          </w:p>
        </w:tc>
      </w:tr>
      <w:tr w:rsidR="00835574" w:rsidRPr="00835574" w14:paraId="63BFD621"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1C4FA31"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lastRenderedPageBreak/>
              <w:t>Mínimo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BEFD4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3,489.46</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607273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7953E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3,115.34</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95CC9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3,873.18</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D5C13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628CC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3,115.34</w:t>
            </w:r>
          </w:p>
        </w:tc>
      </w:tr>
      <w:tr w:rsidR="00835574" w:rsidRPr="00835574" w14:paraId="47F64517"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186AB65"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Promedio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6A21C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4,316.71</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09D975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8C3E79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3,982.90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8061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4,177.34</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2E545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67034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4,198.57</w:t>
            </w:r>
          </w:p>
        </w:tc>
      </w:tr>
      <w:tr w:rsidR="00835574" w:rsidRPr="00835574" w14:paraId="4DCDFB32"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C54BF6"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Monto de la reserva</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F69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56,176,945.88</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AA3804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D7D0EF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B303A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9FD7D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271E9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56,176,945.88</w:t>
            </w:r>
          </w:p>
        </w:tc>
      </w:tr>
      <w:tr w:rsidR="00835574" w:rsidRPr="00835574" w14:paraId="5655FA66"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22A93AA"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Valor presente de las obligaciones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6FCD2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1F314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9B178C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7284C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5C285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83B8D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79BC0546"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B73F80B"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Pensiones y Jubilaciones en curso de pago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FF816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63,968,771.58</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715451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60814A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43,357,905.50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0D960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12,014,877.87</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413CF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1,118,124.43</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CCD96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120,459,679.38</w:t>
            </w:r>
          </w:p>
        </w:tc>
      </w:tr>
      <w:tr w:rsidR="00835574" w:rsidRPr="00835574" w14:paraId="31A64E13"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D23409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Generación actual</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72E6B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2,419,250,319.33</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F098A8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C13BED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117,676,836.19</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8D5CF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152,188,676.74</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33D97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68,709,257.94</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2AF92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2,757,825,090.20</w:t>
            </w:r>
          </w:p>
        </w:tc>
      </w:tr>
      <w:tr w:rsidR="00835574" w:rsidRPr="00835574" w14:paraId="128AEC89"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40E0C1D"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Generaciones futuras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38CE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2,585,099,429.95</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F704D2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24BF07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305,735,269.32</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53BF6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199,494,438.98</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E357B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95,150,484.45</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A809C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3,185,479,622.70</w:t>
            </w:r>
          </w:p>
        </w:tc>
      </w:tr>
      <w:tr w:rsidR="00835574" w:rsidRPr="00835574" w14:paraId="68A058DD"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6A0F8D1"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Valor presente de las contribuciones asociadas a los sueldos futuros de cotización 2.00%</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765AD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F87E01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ADBBF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1096C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74EB9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7DF80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3051B03A"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A7E04F4"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Generación actual</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90E95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111,761,824.81</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554B39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D7B04A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7,247,663.59</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6EF95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7,390,281.82</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60B46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3,142,709.28</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F4E06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129,542,479.49</w:t>
            </w:r>
          </w:p>
        </w:tc>
      </w:tr>
      <w:tr w:rsidR="00835574" w:rsidRPr="00835574" w14:paraId="67E76234"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8E26E9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Generaciones futuras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BAA38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216,272,434.31</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0203CB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FC748E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25,578,169.33</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446D6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16,689,937.51</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25FE0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7,960,400.54</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903FA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266,500,941.69</w:t>
            </w:r>
          </w:p>
        </w:tc>
      </w:tr>
      <w:tr w:rsidR="00835574" w:rsidRPr="00835574" w14:paraId="0CF84DE9"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2AF5210"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Valor presente de aportaciones futuras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EBFC3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A38947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A5619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CCF9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D3C9F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F8C05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33CE0CC1"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CD197D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Generación actual</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BC10A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126,373,309.55</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CD73A1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DD895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8,195,206.51</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E971A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8,356,470.32</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B9878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3,553,579.88</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9135E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146,478,566.26</w:t>
            </w:r>
          </w:p>
        </w:tc>
      </w:tr>
      <w:tr w:rsidR="00835574" w:rsidRPr="00835574" w14:paraId="716E3014"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2CC0B2E"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Generaciones futuras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586A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229,770,640.90</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29A9AB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02D5EB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27,174,579.04</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797EB0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17,731,606.21</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201CC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8,457,232.84</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FC985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283,134,058.98</w:t>
            </w:r>
          </w:p>
        </w:tc>
      </w:tr>
      <w:tr w:rsidR="00835574" w:rsidRPr="00835574" w14:paraId="7D5ED502"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B37589E"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Otros Ingresos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4F67D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250412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BE16EE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267A08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863F6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3A01A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0.00</w:t>
            </w:r>
          </w:p>
        </w:tc>
      </w:tr>
      <w:tr w:rsidR="00835574" w:rsidRPr="00835574" w14:paraId="58262E64"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A1EB067"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Déficit/superávit actuarial</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6230DD"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3FF9792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0A8E7F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D6D32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70624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76299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 </w:t>
            </w:r>
          </w:p>
        </w:tc>
      </w:tr>
      <w:tr w:rsidR="00835574" w:rsidRPr="00835574" w14:paraId="73067C65"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BCE966F"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Generación actual</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6DED9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(2,188,907,010.68)</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74004A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DFF7C3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(145,591,871.59)</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4D4C5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(148,456,802.47)</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771AFF"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(63,131,093.20)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537D9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(2,546,086,777.94)</w:t>
            </w:r>
          </w:p>
        </w:tc>
      </w:tr>
      <w:tr w:rsidR="00835574" w:rsidRPr="00835574" w14:paraId="6A98EDEE"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ADF2DC5"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Generaciones futuras</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EBBAC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(2,139,056,354.75)</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46A3B5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A725B0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(252,982,520.95)</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1B1C3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(165,072,895.26)</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B157F4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(78,732,851.07)</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C0D42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(2,635,844,622.03)</w:t>
            </w:r>
          </w:p>
        </w:tc>
      </w:tr>
      <w:tr w:rsidR="00835574" w:rsidRPr="00835574" w14:paraId="30CA97C8"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7ECC22B"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Periodo de suficiencia</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E1A50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84698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1D199D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089F1C"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CCB756"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A220A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268D0E00"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72D9E95"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Año de descapitalización</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29AC8B"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2028</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5CD385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CF77EB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2028</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C5A1F3"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2028</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E2D53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2028</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9CAFD"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2028</w:t>
            </w:r>
          </w:p>
        </w:tc>
      </w:tr>
      <w:tr w:rsidR="00835574" w:rsidRPr="00835574" w14:paraId="7960F442"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C5ED16C"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Tasa de rendimiento</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94D14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642DA812"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695B07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A00E6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5C70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C1658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2.00%</w:t>
            </w:r>
          </w:p>
        </w:tc>
      </w:tr>
      <w:tr w:rsidR="00835574" w:rsidRPr="00835574" w14:paraId="69B706A9"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178790B9" w14:textId="77777777" w:rsidR="00873F73" w:rsidRPr="00835574" w:rsidRDefault="00873F73" w:rsidP="00873F73">
            <w:pPr>
              <w:shd w:val="clear" w:color="auto" w:fill="FFFFFF" w:themeFill="background1"/>
              <w:spacing w:after="0"/>
              <w:rPr>
                <w:rFonts w:ascii="Calibri" w:eastAsia="Calibri" w:hAnsi="Calibri" w:cs="Times New Roman"/>
                <w:b/>
                <w:i/>
                <w:iCs/>
                <w:sz w:val="14"/>
                <w:szCs w:val="14"/>
                <w:lang w:eastAsia="es-MX"/>
              </w:rPr>
            </w:pPr>
            <w:r w:rsidRPr="00835574">
              <w:rPr>
                <w:rFonts w:ascii="Calibri" w:eastAsia="Calibri" w:hAnsi="Calibri" w:cs="Times New Roman"/>
                <w:b/>
                <w:i/>
                <w:iCs/>
                <w:sz w:val="14"/>
                <w:szCs w:val="14"/>
                <w:lang w:eastAsia="es-MX"/>
              </w:rPr>
              <w:t>Estudio actuarial</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C7CFB7"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78766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7A62F58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13699"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48523E"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7D305"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r>
      <w:tr w:rsidR="00835574" w:rsidRPr="00835574" w14:paraId="32616690"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D8762CE"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Año de elaboración del estudio actuarial</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E63168"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2020</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30241F1"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48A88840"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2020</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7FE6F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2020</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CBE11A"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2020</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8780B4" w14:textId="77777777" w:rsidR="00873F73" w:rsidRPr="00835574" w:rsidRDefault="00873F73" w:rsidP="00873F73">
            <w:pPr>
              <w:shd w:val="clear" w:color="auto" w:fill="FFFFFF" w:themeFill="background1"/>
              <w:spacing w:after="0"/>
              <w:jc w:val="right"/>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2020</w:t>
            </w:r>
          </w:p>
        </w:tc>
      </w:tr>
      <w:tr w:rsidR="00835574" w:rsidRPr="00835574" w14:paraId="5D9F5C50" w14:textId="77777777" w:rsidTr="00536713">
        <w:trPr>
          <w:trHeight w:val="233"/>
        </w:trPr>
        <w:tc>
          <w:tcPr>
            <w:tcW w:w="9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5DA86EBD" w14:textId="77777777" w:rsidR="00873F73" w:rsidRPr="00835574" w:rsidRDefault="00873F73" w:rsidP="00873F73">
            <w:pPr>
              <w:shd w:val="clear" w:color="auto" w:fill="FFFFFF" w:themeFill="background1"/>
              <w:spacing w:after="0"/>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Empresa que elaboró el estudio actuarial</w:t>
            </w:r>
          </w:p>
        </w:tc>
        <w:tc>
          <w:tcPr>
            <w:tcW w:w="7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AD2CFE"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w:t>
            </w:r>
            <w:r w:rsidRPr="00835574">
              <w:rPr>
                <w:rFonts w:ascii="Calibri" w:eastAsia="Calibri" w:hAnsi="Calibri" w:cs="Times New Roman"/>
                <w:i/>
                <w:iCs/>
                <w:sz w:val="14"/>
                <w:szCs w:val="14"/>
                <w:lang w:eastAsia="es-MX"/>
              </w:rPr>
              <w:br/>
              <w:t>Actuariales del Norte,</w:t>
            </w:r>
            <w:r w:rsidRPr="00835574">
              <w:rPr>
                <w:rFonts w:ascii="Calibri" w:eastAsia="Calibri" w:hAnsi="Calibri" w:cs="Times New Roman"/>
                <w:i/>
                <w:iCs/>
                <w:sz w:val="14"/>
                <w:szCs w:val="14"/>
                <w:lang w:eastAsia="es-MX"/>
              </w:rPr>
              <w:br/>
              <w:t>S. C.</w:t>
            </w:r>
          </w:p>
        </w:tc>
        <w:tc>
          <w:tcPr>
            <w:tcW w:w="3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0BA3C81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p>
        </w:tc>
        <w:tc>
          <w:tcPr>
            <w:tcW w:w="70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tcPr>
          <w:p w14:paraId="253F0C12"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w:t>
            </w:r>
            <w:r w:rsidRPr="00835574">
              <w:rPr>
                <w:rFonts w:ascii="Calibri" w:eastAsia="Calibri" w:hAnsi="Calibri" w:cs="Times New Roman"/>
                <w:i/>
                <w:iCs/>
                <w:sz w:val="14"/>
                <w:szCs w:val="14"/>
                <w:lang w:eastAsia="es-MX"/>
              </w:rPr>
              <w:br/>
              <w:t>Actuariales del Norte,</w:t>
            </w:r>
            <w:r w:rsidRPr="00835574">
              <w:rPr>
                <w:rFonts w:ascii="Calibri" w:eastAsia="Calibri" w:hAnsi="Calibri" w:cs="Times New Roman"/>
                <w:i/>
                <w:iCs/>
                <w:sz w:val="14"/>
                <w:szCs w:val="14"/>
                <w:lang w:eastAsia="es-MX"/>
              </w:rPr>
              <w:br/>
              <w:t>S. C.</w:t>
            </w:r>
          </w:p>
        </w:tc>
        <w:tc>
          <w:tcPr>
            <w:tcW w:w="6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BEC47C"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w:t>
            </w:r>
            <w:r w:rsidRPr="00835574">
              <w:rPr>
                <w:rFonts w:ascii="Calibri" w:eastAsia="Calibri" w:hAnsi="Calibri" w:cs="Times New Roman"/>
                <w:i/>
                <w:iCs/>
                <w:sz w:val="14"/>
                <w:szCs w:val="14"/>
                <w:lang w:eastAsia="es-MX"/>
              </w:rPr>
              <w:br/>
              <w:t>Actuariales del Norte,</w:t>
            </w:r>
            <w:r w:rsidRPr="00835574">
              <w:rPr>
                <w:rFonts w:ascii="Calibri" w:eastAsia="Calibri" w:hAnsi="Calibri" w:cs="Times New Roman"/>
                <w:i/>
                <w:iCs/>
                <w:sz w:val="14"/>
                <w:szCs w:val="14"/>
                <w:lang w:eastAsia="es-MX"/>
              </w:rPr>
              <w:br/>
              <w:t>S. C.</w:t>
            </w:r>
          </w:p>
        </w:tc>
        <w:tc>
          <w:tcPr>
            <w:tcW w:w="79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84C0DB"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w:t>
            </w:r>
            <w:r w:rsidRPr="00835574">
              <w:rPr>
                <w:rFonts w:ascii="Calibri" w:eastAsia="Calibri" w:hAnsi="Calibri" w:cs="Times New Roman"/>
                <w:i/>
                <w:iCs/>
                <w:sz w:val="14"/>
                <w:szCs w:val="14"/>
                <w:lang w:eastAsia="es-MX"/>
              </w:rPr>
              <w:br/>
              <w:t>Actuariales del Norte,</w:t>
            </w:r>
            <w:r w:rsidRPr="00835574">
              <w:rPr>
                <w:rFonts w:ascii="Calibri" w:eastAsia="Calibri" w:hAnsi="Calibri" w:cs="Times New Roman"/>
                <w:i/>
                <w:iCs/>
                <w:sz w:val="14"/>
                <w:szCs w:val="14"/>
                <w:lang w:eastAsia="es-MX"/>
              </w:rPr>
              <w:br/>
              <w:t>S. C.</w:t>
            </w:r>
          </w:p>
        </w:tc>
        <w:tc>
          <w:tcPr>
            <w:tcW w:w="7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E77C7B" w14:textId="77777777" w:rsidR="00873F73" w:rsidRPr="00835574" w:rsidRDefault="00873F73" w:rsidP="00873F73">
            <w:pPr>
              <w:shd w:val="clear" w:color="auto" w:fill="FFFFFF" w:themeFill="background1"/>
              <w:spacing w:after="0"/>
              <w:jc w:val="center"/>
              <w:rPr>
                <w:rFonts w:ascii="Calibri" w:eastAsia="Calibri" w:hAnsi="Calibri" w:cs="Times New Roman"/>
                <w:i/>
                <w:iCs/>
                <w:sz w:val="14"/>
                <w:szCs w:val="14"/>
                <w:lang w:eastAsia="es-MX"/>
              </w:rPr>
            </w:pPr>
            <w:r w:rsidRPr="00835574">
              <w:rPr>
                <w:rFonts w:ascii="Calibri" w:eastAsia="Calibri" w:hAnsi="Calibri" w:cs="Times New Roman"/>
                <w:i/>
                <w:iCs/>
                <w:sz w:val="14"/>
                <w:szCs w:val="14"/>
                <w:lang w:eastAsia="es-MX"/>
              </w:rPr>
              <w:t>Valuaciones Actuariales del</w:t>
            </w:r>
            <w:r w:rsidRPr="00835574">
              <w:rPr>
                <w:rFonts w:ascii="Calibri" w:eastAsia="Calibri" w:hAnsi="Calibri" w:cs="Times New Roman"/>
                <w:i/>
                <w:iCs/>
                <w:sz w:val="14"/>
                <w:szCs w:val="14"/>
                <w:lang w:eastAsia="es-MX"/>
              </w:rPr>
              <w:br/>
              <w:t>Norte, S. C.</w:t>
            </w:r>
          </w:p>
        </w:tc>
      </w:tr>
    </w:tbl>
    <w:p w14:paraId="3792D1B1" w14:textId="12E6B8F6" w:rsidR="00873F73" w:rsidRPr="003E0691" w:rsidRDefault="00873F73" w:rsidP="00421E8E">
      <w:pPr>
        <w:pStyle w:val="Sinespaciado"/>
        <w:jc w:val="both"/>
        <w:rPr>
          <w:rFonts w:cstheme="minorHAnsi"/>
          <w:i/>
          <w:iCs/>
          <w:sz w:val="18"/>
          <w:szCs w:val="18"/>
        </w:rPr>
      </w:pPr>
      <w:r w:rsidRPr="003E0691">
        <w:rPr>
          <w:rFonts w:cstheme="minorHAnsi"/>
          <w:b/>
          <w:bCs/>
          <w:i/>
          <w:iCs/>
          <w:sz w:val="18"/>
          <w:szCs w:val="18"/>
        </w:rPr>
        <w:t>Fuente:</w:t>
      </w:r>
      <w:r w:rsidRPr="003E0691">
        <w:rPr>
          <w:rFonts w:cstheme="minorHAnsi"/>
          <w:i/>
          <w:iCs/>
          <w:sz w:val="18"/>
          <w:szCs w:val="18"/>
        </w:rPr>
        <w:t xml:space="preserve"> Oficina de Pensiones del Estado de Oaxaca</w:t>
      </w:r>
    </w:p>
    <w:p w14:paraId="38526925" w14:textId="77777777" w:rsidR="00873F73" w:rsidRPr="00835574" w:rsidRDefault="00873F73" w:rsidP="00421E8E">
      <w:pPr>
        <w:pStyle w:val="Sinespaciado"/>
        <w:jc w:val="both"/>
        <w:rPr>
          <w:b/>
          <w:bCs/>
        </w:rPr>
      </w:pPr>
    </w:p>
    <w:p w14:paraId="37BFAF5D" w14:textId="3F883FBE" w:rsidR="0009743D" w:rsidRPr="00835574" w:rsidRDefault="0009743D">
      <w:pPr>
        <w:pStyle w:val="Sinespaciado"/>
        <w:numPr>
          <w:ilvl w:val="0"/>
          <w:numId w:val="20"/>
        </w:numPr>
        <w:jc w:val="both"/>
        <w:rPr>
          <w:b/>
          <w:bCs/>
        </w:rPr>
      </w:pPr>
      <w:r w:rsidRPr="00835574">
        <w:rPr>
          <w:b/>
          <w:bCs/>
        </w:rPr>
        <w:t>BALANCE PRESUPUESTARIO SOSTENIBLE</w:t>
      </w:r>
    </w:p>
    <w:p w14:paraId="69023C87" w14:textId="15D90573" w:rsidR="00375256" w:rsidRPr="00835574" w:rsidRDefault="00375256" w:rsidP="00421E8E">
      <w:pPr>
        <w:pStyle w:val="Sinespaciado"/>
        <w:jc w:val="both"/>
        <w:rPr>
          <w:b/>
          <w:bCs/>
        </w:rPr>
      </w:pPr>
    </w:p>
    <w:p w14:paraId="4C0258E6" w14:textId="75FF1080" w:rsidR="00375256" w:rsidRPr="00835574" w:rsidRDefault="00375256" w:rsidP="00421E8E">
      <w:pPr>
        <w:pStyle w:val="Sinespaciado"/>
        <w:jc w:val="both"/>
      </w:pPr>
      <w:r w:rsidRPr="00835574">
        <w:t>En caso de que los Ingresos, en cumplimiento con el artículo 15 de la Ley de Disciplina y, a efecto de mantener un balance presupuestario en equilibrio, se realizarán oportunamente los ajustes correspondientes en los rubros de gasto en el siguiente orden:</w:t>
      </w:r>
    </w:p>
    <w:p w14:paraId="5529000D" w14:textId="77777777" w:rsidR="008D3E34" w:rsidRPr="00835574" w:rsidRDefault="008D3E34" w:rsidP="00421E8E">
      <w:pPr>
        <w:pStyle w:val="Sinespaciado"/>
        <w:jc w:val="both"/>
      </w:pPr>
    </w:p>
    <w:p w14:paraId="11194234" w14:textId="48B5755A" w:rsidR="00375256" w:rsidRPr="00835574" w:rsidRDefault="00375256">
      <w:pPr>
        <w:pStyle w:val="Sinespaciado"/>
        <w:numPr>
          <w:ilvl w:val="0"/>
          <w:numId w:val="22"/>
        </w:numPr>
        <w:jc w:val="both"/>
      </w:pPr>
      <w:r w:rsidRPr="00835574">
        <w:t>Gastos de comunicación social;</w:t>
      </w:r>
    </w:p>
    <w:p w14:paraId="693A16E8" w14:textId="77777777" w:rsidR="00375256" w:rsidRPr="00835574" w:rsidRDefault="00375256">
      <w:pPr>
        <w:pStyle w:val="Sinespaciado"/>
        <w:numPr>
          <w:ilvl w:val="0"/>
          <w:numId w:val="22"/>
        </w:numPr>
        <w:jc w:val="both"/>
      </w:pPr>
      <w:r w:rsidRPr="00835574">
        <w:lastRenderedPageBreak/>
        <w:t>Gasto corriente que no constituya un subsidio entregado directamente a la población, en términos de lo dispuesto por el artículo 13, fracción VII de la Ley de Disciplina y</w:t>
      </w:r>
    </w:p>
    <w:p w14:paraId="508A8C9B" w14:textId="77777777" w:rsidR="00375256" w:rsidRPr="00835574" w:rsidRDefault="00375256">
      <w:pPr>
        <w:pStyle w:val="Sinespaciado"/>
        <w:numPr>
          <w:ilvl w:val="0"/>
          <w:numId w:val="22"/>
        </w:numPr>
        <w:jc w:val="both"/>
      </w:pPr>
      <w:r w:rsidRPr="00835574">
        <w:t>Gasto en servicios personales, prioritariamente las erogaciones por concepto de Percepciones extraordinarias.</w:t>
      </w:r>
    </w:p>
    <w:p w14:paraId="4451BE1B" w14:textId="77777777" w:rsidR="008D3E34" w:rsidRPr="00835574" w:rsidRDefault="008D3E34" w:rsidP="00421E8E">
      <w:pPr>
        <w:pStyle w:val="Sinespaciado"/>
        <w:jc w:val="both"/>
      </w:pPr>
    </w:p>
    <w:p w14:paraId="41B2D0AA" w14:textId="20F3CED0" w:rsidR="00375256" w:rsidRPr="00835574" w:rsidRDefault="00375256" w:rsidP="00421E8E">
      <w:pPr>
        <w:pStyle w:val="Sinespaciado"/>
        <w:jc w:val="both"/>
      </w:pPr>
      <w:r w:rsidRPr="00835574">
        <w:t>En caso de que los ajustes anteriores no sean suficientes para compensar la disminución de ingresos, podrán realizarse ajustes en otros conceptos de gasto, siempre y cuando se procure no afectar los programas sociales.</w:t>
      </w:r>
    </w:p>
    <w:p w14:paraId="3062207F" w14:textId="77777777" w:rsidR="008D3E34" w:rsidRPr="00835574" w:rsidRDefault="008D3E34" w:rsidP="00421E8E">
      <w:pPr>
        <w:pStyle w:val="Sinespaciado"/>
        <w:jc w:val="both"/>
      </w:pPr>
    </w:p>
    <w:p w14:paraId="4855A2D4" w14:textId="1EFBC3F1" w:rsidR="00375256" w:rsidRPr="00835574" w:rsidRDefault="00375256" w:rsidP="00421E8E">
      <w:pPr>
        <w:pStyle w:val="Sinespaciado"/>
        <w:jc w:val="both"/>
      </w:pPr>
      <w:r w:rsidRPr="00835574">
        <w:t>Aunado a lo anterior, el Poder Ejecutivo, en congruencia con el artículo 10 fracción I de la Ley de Disciplina establece la Asignación Global de Servicios Personales</w:t>
      </w:r>
      <w:r w:rsidR="00F117FC" w:rsidRPr="00835574">
        <w:t xml:space="preserve"> (AGSP) </w:t>
      </w:r>
      <w:r w:rsidRPr="00835574">
        <w:t xml:space="preserve">para el ejercicio fiscal 2023 en </w:t>
      </w:r>
      <w:r w:rsidR="007C4935">
        <w:rPr>
          <w:rFonts w:eastAsia="Times New Roman" w:cstheme="minorHAnsi"/>
          <w:lang w:eastAsia="es-MX"/>
        </w:rPr>
        <w:t>50,698.29</w:t>
      </w:r>
      <w:r w:rsidR="00C0462B">
        <w:rPr>
          <w:rFonts w:eastAsia="Times New Roman" w:cstheme="minorHAnsi"/>
          <w:lang w:eastAsia="es-MX"/>
        </w:rPr>
        <w:t xml:space="preserve"> mdp</w:t>
      </w:r>
      <w:r w:rsidR="005E3445" w:rsidRPr="00835574">
        <w:t>.</w:t>
      </w:r>
    </w:p>
    <w:p w14:paraId="7D7366CB" w14:textId="77777777" w:rsidR="00375256" w:rsidRPr="00835574" w:rsidRDefault="00375256" w:rsidP="00421E8E">
      <w:pPr>
        <w:pStyle w:val="Sinespaciado"/>
        <w:jc w:val="both"/>
      </w:pPr>
    </w:p>
    <w:p w14:paraId="7626AE3C" w14:textId="77777777" w:rsidR="00375256" w:rsidRPr="00835574" w:rsidRDefault="00375256" w:rsidP="00421E8E">
      <w:pPr>
        <w:pStyle w:val="Sinespaciado"/>
        <w:jc w:val="both"/>
      </w:pPr>
      <w:r w:rsidRPr="00835574">
        <w:t>La AGSP aprobada originalmente en el Presupuesto de Egresos no podrá incrementarse durante el transcurso del ejercicio fiscal y, los Ejecutores de gasto del Poder Ejecutivo, deberán sujetarse al presupuesto aprobado para dicho rubro, lo anterior en congruencia con el artículo 13 fracción V de la Ley de Disciplina.</w:t>
      </w:r>
    </w:p>
    <w:p w14:paraId="5C02A531" w14:textId="77777777" w:rsidR="00375256" w:rsidRPr="00835574" w:rsidRDefault="00375256" w:rsidP="00421E8E">
      <w:pPr>
        <w:pStyle w:val="Sinespaciado"/>
        <w:jc w:val="both"/>
      </w:pPr>
    </w:p>
    <w:p w14:paraId="0743DCD1" w14:textId="570C8796" w:rsidR="00375256" w:rsidRPr="00835574" w:rsidRDefault="00375256" w:rsidP="00421E8E">
      <w:pPr>
        <w:pStyle w:val="Sinespaciado"/>
        <w:jc w:val="both"/>
      </w:pPr>
      <w:r w:rsidRPr="00835574">
        <w:t>Es import</w:t>
      </w:r>
      <w:r w:rsidR="00D74D24" w:rsidRPr="00835574">
        <w:t>ante</w:t>
      </w:r>
      <w:r w:rsidRPr="00835574">
        <w:t xml:space="preserve"> precisar que en la AGSP 2023, se regularizan 1,172.67</w:t>
      </w:r>
      <w:r w:rsidRPr="00835574">
        <w:rPr>
          <w:rStyle w:val="Refdenotaalpie"/>
          <w:rFonts w:ascii="Arial" w:hAnsi="Arial" w:cs="Arial"/>
        </w:rPr>
        <w:footnoteReference w:id="20"/>
      </w:r>
      <w:r w:rsidRPr="00835574">
        <w:t xml:space="preserve"> mdp correspondientes a la parte líquida de la Aportación Solidaría Estatal (ASE líquida), importe que será actualizado cuando la Federación formalice el </w:t>
      </w:r>
      <w:r w:rsidRPr="00835574">
        <w:rPr>
          <w:i/>
          <w:iCs/>
        </w:rPr>
        <w:t>Anexo IV del "Acuerdo de Coordinación para Garantizar la Prestación Gratuita de Servicios de Salud, medicamentos y demás insumos asociados para las personas sin seguridad social"</w:t>
      </w:r>
      <w:r w:rsidRPr="00835574">
        <w:t xml:space="preserve"> para el ejercicio fiscal 2023.</w:t>
      </w:r>
    </w:p>
    <w:p w14:paraId="7585E2D6" w14:textId="77777777" w:rsidR="00375256" w:rsidRPr="00835574" w:rsidRDefault="00375256" w:rsidP="00421E8E">
      <w:pPr>
        <w:pStyle w:val="Sinespaciado"/>
        <w:jc w:val="both"/>
      </w:pPr>
    </w:p>
    <w:p w14:paraId="65DD05E3" w14:textId="60FD1E37" w:rsidR="00375256" w:rsidRPr="00835574" w:rsidRDefault="00375256" w:rsidP="00421E8E">
      <w:pPr>
        <w:pStyle w:val="Sinespaciado"/>
        <w:jc w:val="both"/>
      </w:pPr>
      <w:r w:rsidRPr="00835574">
        <w:t>Así mismo, se reclasifican 1,9</w:t>
      </w:r>
      <w:r w:rsidR="00F92922" w:rsidRPr="00835574">
        <w:t>19</w:t>
      </w:r>
      <w:r w:rsidRPr="00835574">
        <w:t>.</w:t>
      </w:r>
      <w:r w:rsidR="00F92922" w:rsidRPr="00835574">
        <w:t>00</w:t>
      </w:r>
      <w:r w:rsidRPr="00835574">
        <w:t xml:space="preserve"> mdp correspondientes a los conceptos asociados a servicios personales que se encuentran integrados en el gasto de operación del Fondo de Aportaciones para los Servicios de Salud (FASSA).</w:t>
      </w:r>
    </w:p>
    <w:p w14:paraId="578898BE" w14:textId="77777777" w:rsidR="00375256" w:rsidRPr="00835574" w:rsidRDefault="00375256" w:rsidP="00421E8E">
      <w:pPr>
        <w:pStyle w:val="Sinespaciado"/>
        <w:jc w:val="both"/>
      </w:pPr>
    </w:p>
    <w:p w14:paraId="79FF6176" w14:textId="39EBF4A6" w:rsidR="00375256" w:rsidRPr="00835574" w:rsidRDefault="00375256" w:rsidP="00421E8E">
      <w:pPr>
        <w:pStyle w:val="Sinespaciado"/>
        <w:jc w:val="both"/>
      </w:pPr>
      <w:r w:rsidRPr="00835574">
        <w:t>La regularización de la ASE líquida y la reclasificación del FASSA se realizan en congruencia con el criterio emitido por la Secretaría de Hacienda y Crédito Público a través de la Unidad de Coordinación con Entidades Federativas</w:t>
      </w:r>
      <w:r w:rsidR="0064689E" w:rsidRPr="00835574">
        <w:t>.</w:t>
      </w:r>
    </w:p>
    <w:p w14:paraId="28B4F1A9" w14:textId="40A7A03C" w:rsidR="00ED6ED9" w:rsidRPr="00835574" w:rsidRDefault="00ED6ED9" w:rsidP="00421E8E">
      <w:pPr>
        <w:pStyle w:val="Sinespaciado"/>
        <w:jc w:val="both"/>
      </w:pPr>
    </w:p>
    <w:p w14:paraId="70CF81BD" w14:textId="1838A05D" w:rsidR="007C4935" w:rsidRPr="00835574" w:rsidRDefault="00375256" w:rsidP="007C4935">
      <w:pPr>
        <w:pStyle w:val="Sinespaciado"/>
        <w:jc w:val="center"/>
        <w:rPr>
          <w:b/>
          <w:bCs/>
        </w:rPr>
      </w:pPr>
      <w:r w:rsidRPr="00835574">
        <w:rPr>
          <w:b/>
          <w:bCs/>
        </w:rPr>
        <w:t>Comparativo interanual de la Asignación Global de Servicios Personales según Formato 6D Estado Analítico del Ejercicio del Presupuesto de Egresos Detallado – LDF (Clasificación de Servicios Personales por Categoría)</w:t>
      </w:r>
    </w:p>
    <w:p w14:paraId="1AFD8FB3" w14:textId="21754CB4" w:rsidR="00A51759" w:rsidRPr="007C4935" w:rsidRDefault="00375256" w:rsidP="007C4935">
      <w:pPr>
        <w:jc w:val="center"/>
        <w:rPr>
          <w:i/>
          <w:iCs/>
        </w:rPr>
      </w:pPr>
      <w:r w:rsidRPr="00835574">
        <w:rPr>
          <w:i/>
          <w:iCs/>
        </w:rPr>
        <w:t>Millones de pesos</w:t>
      </w:r>
    </w:p>
    <w:tbl>
      <w:tblPr>
        <w:tblW w:w="0" w:type="auto"/>
        <w:jc w:val="center"/>
        <w:tblCellMar>
          <w:left w:w="70" w:type="dxa"/>
          <w:right w:w="70" w:type="dxa"/>
        </w:tblCellMar>
        <w:tblLook w:val="04A0" w:firstRow="1" w:lastRow="0" w:firstColumn="1" w:lastColumn="0" w:noHBand="0" w:noVBand="1"/>
      </w:tblPr>
      <w:tblGrid>
        <w:gridCol w:w="3183"/>
        <w:gridCol w:w="1463"/>
        <w:gridCol w:w="1424"/>
        <w:gridCol w:w="732"/>
        <w:gridCol w:w="763"/>
      </w:tblGrid>
      <w:tr w:rsidR="00835574" w:rsidRPr="00835574" w14:paraId="43FFB048" w14:textId="77777777" w:rsidTr="007C4935">
        <w:trPr>
          <w:trHeight w:val="227"/>
          <w:jc w:val="center"/>
        </w:trPr>
        <w:tc>
          <w:tcPr>
            <w:tcW w:w="0" w:type="auto"/>
            <w:vMerge w:val="restart"/>
            <w:tcBorders>
              <w:top w:val="nil"/>
              <w:left w:val="nil"/>
              <w:bottom w:val="nil"/>
              <w:right w:val="nil"/>
            </w:tcBorders>
            <w:shd w:val="clear" w:color="auto" w:fill="D0CECE" w:themeFill="background2" w:themeFillShade="E6"/>
            <w:noWrap/>
            <w:vAlign w:val="center"/>
            <w:hideMark/>
          </w:tcPr>
          <w:p w14:paraId="2F2E4C19" w14:textId="77777777" w:rsidR="00A51759" w:rsidRPr="007C4935" w:rsidRDefault="00A51759" w:rsidP="009F17D2">
            <w:pPr>
              <w:spacing w:after="0" w:line="360" w:lineRule="auto"/>
              <w:jc w:val="center"/>
              <w:rPr>
                <w:rFonts w:ascii="Arial" w:eastAsia="Times New Roman" w:hAnsi="Arial" w:cs="Arial"/>
                <w:b/>
                <w:bCs/>
                <w:sz w:val="14"/>
                <w:szCs w:val="14"/>
                <w:lang w:eastAsia="es-MX"/>
              </w:rPr>
            </w:pPr>
            <w:r w:rsidRPr="007C4935">
              <w:rPr>
                <w:rFonts w:ascii="Arial" w:eastAsia="Times New Roman" w:hAnsi="Arial" w:cs="Arial"/>
                <w:b/>
                <w:bCs/>
                <w:sz w:val="14"/>
                <w:szCs w:val="14"/>
                <w:lang w:eastAsia="es-MX"/>
              </w:rPr>
              <w:t>Concepto</w:t>
            </w:r>
          </w:p>
        </w:tc>
        <w:tc>
          <w:tcPr>
            <w:tcW w:w="0" w:type="auto"/>
            <w:vMerge w:val="restart"/>
            <w:tcBorders>
              <w:top w:val="nil"/>
              <w:left w:val="nil"/>
              <w:bottom w:val="nil"/>
              <w:right w:val="nil"/>
            </w:tcBorders>
            <w:shd w:val="clear" w:color="auto" w:fill="D0CECE" w:themeFill="background2" w:themeFillShade="E6"/>
            <w:noWrap/>
            <w:vAlign w:val="center"/>
            <w:hideMark/>
          </w:tcPr>
          <w:p w14:paraId="1E2A1BD3" w14:textId="77777777" w:rsidR="00A51759" w:rsidRPr="007C4935" w:rsidRDefault="00A51759" w:rsidP="009F17D2">
            <w:pPr>
              <w:spacing w:after="0" w:line="360" w:lineRule="auto"/>
              <w:jc w:val="center"/>
              <w:rPr>
                <w:rFonts w:ascii="Arial" w:eastAsia="Times New Roman" w:hAnsi="Arial" w:cs="Arial"/>
                <w:b/>
                <w:bCs/>
                <w:sz w:val="14"/>
                <w:szCs w:val="14"/>
                <w:lang w:eastAsia="es-MX"/>
              </w:rPr>
            </w:pPr>
            <w:r w:rsidRPr="007C4935">
              <w:rPr>
                <w:rFonts w:ascii="Arial" w:eastAsia="Times New Roman" w:hAnsi="Arial" w:cs="Arial"/>
                <w:b/>
                <w:bCs/>
                <w:sz w:val="14"/>
                <w:szCs w:val="14"/>
                <w:lang w:eastAsia="es-MX"/>
              </w:rPr>
              <w:t>Aprobado 2022</w:t>
            </w:r>
          </w:p>
        </w:tc>
        <w:tc>
          <w:tcPr>
            <w:tcW w:w="0" w:type="auto"/>
            <w:vMerge w:val="restart"/>
            <w:tcBorders>
              <w:top w:val="nil"/>
              <w:left w:val="nil"/>
              <w:bottom w:val="nil"/>
              <w:right w:val="nil"/>
            </w:tcBorders>
            <w:shd w:val="clear" w:color="auto" w:fill="D0CECE" w:themeFill="background2" w:themeFillShade="E6"/>
            <w:vAlign w:val="center"/>
            <w:hideMark/>
          </w:tcPr>
          <w:p w14:paraId="507A1EBB" w14:textId="77777777" w:rsidR="00A51759" w:rsidRPr="007C4935" w:rsidRDefault="00A51759" w:rsidP="009F17D2">
            <w:pPr>
              <w:spacing w:after="0" w:line="360" w:lineRule="auto"/>
              <w:jc w:val="center"/>
              <w:rPr>
                <w:rFonts w:ascii="Arial" w:eastAsia="Times New Roman" w:hAnsi="Arial" w:cs="Arial"/>
                <w:b/>
                <w:bCs/>
                <w:sz w:val="14"/>
                <w:szCs w:val="14"/>
                <w:lang w:eastAsia="es-MX"/>
              </w:rPr>
            </w:pPr>
            <w:r w:rsidRPr="007C4935">
              <w:rPr>
                <w:rFonts w:ascii="Arial" w:eastAsia="Times New Roman" w:hAnsi="Arial" w:cs="Arial"/>
                <w:b/>
                <w:bCs/>
                <w:sz w:val="14"/>
                <w:szCs w:val="14"/>
                <w:lang w:eastAsia="es-MX"/>
              </w:rPr>
              <w:t>AGSP 2023</w:t>
            </w:r>
            <w:r w:rsidRPr="007C4935">
              <w:rPr>
                <w:rStyle w:val="Refdenotaalpie"/>
                <w:rFonts w:ascii="Arial" w:eastAsia="Times New Roman" w:hAnsi="Arial" w:cs="Arial"/>
                <w:b/>
                <w:bCs/>
                <w:sz w:val="14"/>
                <w:szCs w:val="14"/>
                <w:lang w:eastAsia="es-MX"/>
              </w:rPr>
              <w:footnoteReference w:id="21"/>
            </w:r>
          </w:p>
        </w:tc>
        <w:tc>
          <w:tcPr>
            <w:tcW w:w="0" w:type="auto"/>
            <w:gridSpan w:val="2"/>
            <w:tcBorders>
              <w:top w:val="nil"/>
              <w:left w:val="nil"/>
              <w:bottom w:val="nil"/>
              <w:right w:val="nil"/>
            </w:tcBorders>
            <w:shd w:val="clear" w:color="auto" w:fill="D0CECE" w:themeFill="background2" w:themeFillShade="E6"/>
            <w:noWrap/>
            <w:vAlign w:val="center"/>
            <w:hideMark/>
          </w:tcPr>
          <w:p w14:paraId="77F9C4CC" w14:textId="77777777" w:rsidR="00A51759" w:rsidRPr="007C4935" w:rsidRDefault="00A51759" w:rsidP="009F17D2">
            <w:pPr>
              <w:spacing w:after="0" w:line="360" w:lineRule="auto"/>
              <w:jc w:val="center"/>
              <w:rPr>
                <w:rFonts w:ascii="Arial" w:eastAsia="Times New Roman" w:hAnsi="Arial" w:cs="Arial"/>
                <w:b/>
                <w:bCs/>
                <w:sz w:val="14"/>
                <w:szCs w:val="14"/>
                <w:lang w:eastAsia="es-MX"/>
              </w:rPr>
            </w:pPr>
            <w:r w:rsidRPr="007C4935">
              <w:rPr>
                <w:rFonts w:ascii="Arial" w:eastAsia="Times New Roman" w:hAnsi="Arial" w:cs="Arial"/>
                <w:b/>
                <w:bCs/>
                <w:sz w:val="14"/>
                <w:szCs w:val="14"/>
                <w:lang w:eastAsia="es-MX"/>
              </w:rPr>
              <w:t>Variación</w:t>
            </w:r>
          </w:p>
        </w:tc>
      </w:tr>
      <w:tr w:rsidR="00835574" w:rsidRPr="00835574" w14:paraId="45566572" w14:textId="77777777" w:rsidTr="007C4935">
        <w:trPr>
          <w:trHeight w:val="227"/>
          <w:jc w:val="center"/>
        </w:trPr>
        <w:tc>
          <w:tcPr>
            <w:tcW w:w="0" w:type="auto"/>
            <w:vMerge/>
            <w:tcBorders>
              <w:top w:val="nil"/>
              <w:left w:val="nil"/>
              <w:bottom w:val="nil"/>
              <w:right w:val="nil"/>
            </w:tcBorders>
            <w:vAlign w:val="center"/>
            <w:hideMark/>
          </w:tcPr>
          <w:p w14:paraId="431AA2D5" w14:textId="77777777" w:rsidR="00A51759" w:rsidRPr="00835574" w:rsidRDefault="00A51759" w:rsidP="009F17D2">
            <w:pPr>
              <w:spacing w:after="0" w:line="360" w:lineRule="auto"/>
              <w:rPr>
                <w:rFonts w:ascii="Arial" w:eastAsia="Times New Roman" w:hAnsi="Arial" w:cs="Arial"/>
                <w:b/>
                <w:bCs/>
                <w:sz w:val="14"/>
                <w:szCs w:val="14"/>
                <w:lang w:eastAsia="es-MX"/>
              </w:rPr>
            </w:pPr>
          </w:p>
        </w:tc>
        <w:tc>
          <w:tcPr>
            <w:tcW w:w="0" w:type="auto"/>
            <w:vMerge/>
            <w:tcBorders>
              <w:top w:val="nil"/>
              <w:left w:val="nil"/>
              <w:bottom w:val="nil"/>
              <w:right w:val="nil"/>
            </w:tcBorders>
            <w:vAlign w:val="center"/>
            <w:hideMark/>
          </w:tcPr>
          <w:p w14:paraId="6FE595B3" w14:textId="77777777" w:rsidR="00A51759" w:rsidRPr="00835574" w:rsidRDefault="00A51759" w:rsidP="009F17D2">
            <w:pPr>
              <w:spacing w:after="0" w:line="360" w:lineRule="auto"/>
              <w:rPr>
                <w:rFonts w:ascii="Arial" w:eastAsia="Times New Roman" w:hAnsi="Arial" w:cs="Arial"/>
                <w:b/>
                <w:bCs/>
                <w:sz w:val="14"/>
                <w:szCs w:val="14"/>
                <w:lang w:eastAsia="es-MX"/>
              </w:rPr>
            </w:pPr>
          </w:p>
        </w:tc>
        <w:tc>
          <w:tcPr>
            <w:tcW w:w="0" w:type="auto"/>
            <w:vMerge/>
            <w:tcBorders>
              <w:top w:val="nil"/>
              <w:left w:val="nil"/>
              <w:bottom w:val="nil"/>
              <w:right w:val="nil"/>
            </w:tcBorders>
            <w:vAlign w:val="center"/>
            <w:hideMark/>
          </w:tcPr>
          <w:p w14:paraId="55ACE970" w14:textId="77777777" w:rsidR="00A51759" w:rsidRPr="00835574" w:rsidRDefault="00A51759" w:rsidP="009F17D2">
            <w:pPr>
              <w:spacing w:after="0" w:line="360" w:lineRule="auto"/>
              <w:rPr>
                <w:rFonts w:ascii="Arial" w:eastAsia="Times New Roman" w:hAnsi="Arial" w:cs="Arial"/>
                <w:b/>
                <w:bCs/>
                <w:sz w:val="14"/>
                <w:szCs w:val="14"/>
                <w:lang w:eastAsia="es-MX"/>
              </w:rPr>
            </w:pPr>
          </w:p>
        </w:tc>
        <w:tc>
          <w:tcPr>
            <w:tcW w:w="0" w:type="auto"/>
            <w:tcBorders>
              <w:top w:val="nil"/>
              <w:left w:val="nil"/>
              <w:bottom w:val="nil"/>
              <w:right w:val="nil"/>
            </w:tcBorders>
            <w:shd w:val="clear" w:color="auto" w:fill="D0CECE" w:themeFill="background2" w:themeFillShade="E6"/>
            <w:noWrap/>
            <w:vAlign w:val="center"/>
            <w:hideMark/>
          </w:tcPr>
          <w:p w14:paraId="65845FCD" w14:textId="77777777" w:rsidR="00A51759" w:rsidRPr="00835574" w:rsidRDefault="00A51759" w:rsidP="009F17D2">
            <w:pPr>
              <w:spacing w:after="0" w:line="360" w:lineRule="auto"/>
              <w:jc w:val="center"/>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 Nominal </w:t>
            </w:r>
          </w:p>
        </w:tc>
        <w:tc>
          <w:tcPr>
            <w:tcW w:w="0" w:type="auto"/>
            <w:tcBorders>
              <w:top w:val="nil"/>
              <w:left w:val="nil"/>
              <w:bottom w:val="nil"/>
              <w:right w:val="nil"/>
            </w:tcBorders>
            <w:shd w:val="clear" w:color="auto" w:fill="D0CECE" w:themeFill="background2" w:themeFillShade="E6"/>
            <w:noWrap/>
            <w:vAlign w:val="center"/>
            <w:hideMark/>
          </w:tcPr>
          <w:p w14:paraId="225C2DD1" w14:textId="77777777" w:rsidR="00A51759" w:rsidRPr="00835574" w:rsidRDefault="00A51759" w:rsidP="009F17D2">
            <w:pPr>
              <w:spacing w:after="0" w:line="360" w:lineRule="auto"/>
              <w:jc w:val="center"/>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w:t>
            </w:r>
          </w:p>
        </w:tc>
      </w:tr>
      <w:tr w:rsidR="00835574" w:rsidRPr="00835574" w14:paraId="4BA4529B"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1E7E9AF0" w14:textId="77777777" w:rsidR="00A51759" w:rsidRPr="00835574" w:rsidRDefault="00A51759" w:rsidP="009F17D2">
            <w:pPr>
              <w:spacing w:after="0" w:line="360" w:lineRule="auto"/>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I. Gasto No Etiquetado</w:t>
            </w:r>
          </w:p>
        </w:tc>
        <w:tc>
          <w:tcPr>
            <w:tcW w:w="0" w:type="auto"/>
            <w:tcBorders>
              <w:top w:val="nil"/>
              <w:left w:val="nil"/>
              <w:bottom w:val="nil"/>
              <w:right w:val="nil"/>
            </w:tcBorders>
            <w:shd w:val="clear" w:color="auto" w:fill="auto"/>
            <w:noWrap/>
            <w:vAlign w:val="center"/>
            <w:hideMark/>
          </w:tcPr>
          <w:p w14:paraId="7A0A9877"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           11,727.44 </w:t>
            </w:r>
          </w:p>
        </w:tc>
        <w:tc>
          <w:tcPr>
            <w:tcW w:w="0" w:type="auto"/>
            <w:tcBorders>
              <w:top w:val="nil"/>
              <w:left w:val="nil"/>
              <w:bottom w:val="nil"/>
              <w:right w:val="nil"/>
            </w:tcBorders>
            <w:shd w:val="clear" w:color="auto" w:fill="auto"/>
            <w:noWrap/>
            <w:hideMark/>
          </w:tcPr>
          <w:p w14:paraId="0387FEAD"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15,287.76 </w:t>
            </w:r>
          </w:p>
        </w:tc>
        <w:tc>
          <w:tcPr>
            <w:tcW w:w="0" w:type="auto"/>
            <w:tcBorders>
              <w:top w:val="nil"/>
              <w:left w:val="nil"/>
              <w:bottom w:val="nil"/>
              <w:right w:val="nil"/>
            </w:tcBorders>
            <w:shd w:val="clear" w:color="auto" w:fill="auto"/>
            <w:noWrap/>
            <w:hideMark/>
          </w:tcPr>
          <w:p w14:paraId="1341E6A0"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3,560.32 </w:t>
            </w:r>
          </w:p>
        </w:tc>
        <w:tc>
          <w:tcPr>
            <w:tcW w:w="0" w:type="auto"/>
            <w:tcBorders>
              <w:top w:val="nil"/>
              <w:left w:val="nil"/>
              <w:bottom w:val="nil"/>
              <w:right w:val="nil"/>
            </w:tcBorders>
            <w:shd w:val="clear" w:color="auto" w:fill="auto"/>
            <w:noWrap/>
            <w:hideMark/>
          </w:tcPr>
          <w:p w14:paraId="62394F4E"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30.36 </w:t>
            </w:r>
          </w:p>
        </w:tc>
      </w:tr>
      <w:tr w:rsidR="00835574" w:rsidRPr="00835574" w14:paraId="296D8E05"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7A01D407"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A.- Personal Administrativo y de Servicio Público</w:t>
            </w:r>
          </w:p>
        </w:tc>
        <w:tc>
          <w:tcPr>
            <w:tcW w:w="0" w:type="auto"/>
            <w:tcBorders>
              <w:top w:val="nil"/>
              <w:left w:val="nil"/>
              <w:bottom w:val="nil"/>
              <w:right w:val="nil"/>
            </w:tcBorders>
            <w:shd w:val="clear" w:color="auto" w:fill="auto"/>
            <w:noWrap/>
            <w:vAlign w:val="center"/>
            <w:hideMark/>
          </w:tcPr>
          <w:p w14:paraId="33301AF0"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8,367.36 </w:t>
            </w:r>
          </w:p>
        </w:tc>
        <w:tc>
          <w:tcPr>
            <w:tcW w:w="0" w:type="auto"/>
            <w:tcBorders>
              <w:top w:val="nil"/>
              <w:left w:val="nil"/>
              <w:bottom w:val="nil"/>
              <w:right w:val="nil"/>
            </w:tcBorders>
            <w:shd w:val="clear" w:color="auto" w:fill="auto"/>
            <w:noWrap/>
            <w:hideMark/>
          </w:tcPr>
          <w:p w14:paraId="57862F8B"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9,737.99 </w:t>
            </w:r>
          </w:p>
        </w:tc>
        <w:tc>
          <w:tcPr>
            <w:tcW w:w="0" w:type="auto"/>
            <w:tcBorders>
              <w:top w:val="nil"/>
              <w:left w:val="nil"/>
              <w:bottom w:val="nil"/>
              <w:right w:val="nil"/>
            </w:tcBorders>
            <w:shd w:val="clear" w:color="auto" w:fill="auto"/>
            <w:noWrap/>
            <w:hideMark/>
          </w:tcPr>
          <w:p w14:paraId="51DAD6D7"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1,370.63 </w:t>
            </w:r>
          </w:p>
        </w:tc>
        <w:tc>
          <w:tcPr>
            <w:tcW w:w="0" w:type="auto"/>
            <w:tcBorders>
              <w:top w:val="nil"/>
              <w:left w:val="nil"/>
              <w:bottom w:val="nil"/>
              <w:right w:val="nil"/>
            </w:tcBorders>
            <w:shd w:val="clear" w:color="auto" w:fill="auto"/>
            <w:noWrap/>
            <w:hideMark/>
          </w:tcPr>
          <w:p w14:paraId="5370CCCC"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16.38 </w:t>
            </w:r>
          </w:p>
        </w:tc>
      </w:tr>
      <w:tr w:rsidR="00835574" w:rsidRPr="00835574" w14:paraId="73632BE4"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6AEE1C79"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B.- Magisterio</w:t>
            </w:r>
          </w:p>
        </w:tc>
        <w:tc>
          <w:tcPr>
            <w:tcW w:w="0" w:type="auto"/>
            <w:tcBorders>
              <w:top w:val="nil"/>
              <w:left w:val="nil"/>
              <w:bottom w:val="nil"/>
              <w:right w:val="nil"/>
            </w:tcBorders>
            <w:shd w:val="clear" w:color="auto" w:fill="auto"/>
            <w:noWrap/>
            <w:vAlign w:val="center"/>
            <w:hideMark/>
          </w:tcPr>
          <w:p w14:paraId="4BC732CF"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2,059.07 </w:t>
            </w:r>
          </w:p>
        </w:tc>
        <w:tc>
          <w:tcPr>
            <w:tcW w:w="0" w:type="auto"/>
            <w:tcBorders>
              <w:top w:val="nil"/>
              <w:left w:val="nil"/>
              <w:bottom w:val="nil"/>
              <w:right w:val="nil"/>
            </w:tcBorders>
            <w:shd w:val="clear" w:color="auto" w:fill="auto"/>
            <w:noWrap/>
            <w:hideMark/>
          </w:tcPr>
          <w:p w14:paraId="33F51BEC"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2,635.42 </w:t>
            </w:r>
          </w:p>
        </w:tc>
        <w:tc>
          <w:tcPr>
            <w:tcW w:w="0" w:type="auto"/>
            <w:tcBorders>
              <w:top w:val="nil"/>
              <w:left w:val="nil"/>
              <w:bottom w:val="nil"/>
              <w:right w:val="nil"/>
            </w:tcBorders>
            <w:shd w:val="clear" w:color="auto" w:fill="auto"/>
            <w:noWrap/>
            <w:hideMark/>
          </w:tcPr>
          <w:p w14:paraId="5D3CF5B7"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576.35 </w:t>
            </w:r>
          </w:p>
        </w:tc>
        <w:tc>
          <w:tcPr>
            <w:tcW w:w="0" w:type="auto"/>
            <w:tcBorders>
              <w:top w:val="nil"/>
              <w:left w:val="nil"/>
              <w:bottom w:val="nil"/>
              <w:right w:val="nil"/>
            </w:tcBorders>
            <w:shd w:val="clear" w:color="auto" w:fill="auto"/>
            <w:noWrap/>
            <w:hideMark/>
          </w:tcPr>
          <w:p w14:paraId="06AB442D"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27.99 </w:t>
            </w:r>
          </w:p>
        </w:tc>
      </w:tr>
      <w:tr w:rsidR="00835574" w:rsidRPr="00835574" w14:paraId="420DCDBB"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3E97B6D9"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C.- Servicios de Salud</w:t>
            </w:r>
          </w:p>
        </w:tc>
        <w:tc>
          <w:tcPr>
            <w:tcW w:w="0" w:type="auto"/>
            <w:tcBorders>
              <w:top w:val="nil"/>
              <w:left w:val="nil"/>
              <w:bottom w:val="nil"/>
              <w:right w:val="nil"/>
            </w:tcBorders>
            <w:shd w:val="clear" w:color="auto" w:fill="auto"/>
            <w:noWrap/>
            <w:vAlign w:val="center"/>
            <w:hideMark/>
          </w:tcPr>
          <w:p w14:paraId="5D4E87C2"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9.75 </w:t>
            </w:r>
          </w:p>
        </w:tc>
        <w:tc>
          <w:tcPr>
            <w:tcW w:w="0" w:type="auto"/>
            <w:tcBorders>
              <w:top w:val="nil"/>
              <w:left w:val="nil"/>
              <w:bottom w:val="nil"/>
              <w:right w:val="nil"/>
            </w:tcBorders>
            <w:shd w:val="clear" w:color="auto" w:fill="auto"/>
            <w:noWrap/>
            <w:hideMark/>
          </w:tcPr>
          <w:p w14:paraId="28BB1105"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1,200.40 </w:t>
            </w:r>
          </w:p>
        </w:tc>
        <w:tc>
          <w:tcPr>
            <w:tcW w:w="0" w:type="auto"/>
            <w:tcBorders>
              <w:top w:val="nil"/>
              <w:left w:val="nil"/>
              <w:bottom w:val="nil"/>
              <w:right w:val="nil"/>
            </w:tcBorders>
            <w:shd w:val="clear" w:color="auto" w:fill="auto"/>
            <w:noWrap/>
            <w:hideMark/>
          </w:tcPr>
          <w:p w14:paraId="2B88A3BE"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1,190.65 </w:t>
            </w:r>
          </w:p>
        </w:tc>
        <w:tc>
          <w:tcPr>
            <w:tcW w:w="0" w:type="auto"/>
            <w:tcBorders>
              <w:top w:val="nil"/>
              <w:left w:val="nil"/>
              <w:bottom w:val="nil"/>
              <w:right w:val="nil"/>
            </w:tcBorders>
            <w:shd w:val="clear" w:color="auto" w:fill="auto"/>
            <w:noWrap/>
            <w:hideMark/>
          </w:tcPr>
          <w:p w14:paraId="33FE68F8"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12,207.49 </w:t>
            </w:r>
          </w:p>
        </w:tc>
      </w:tr>
      <w:tr w:rsidR="00835574" w:rsidRPr="00835574" w14:paraId="45FB31CB"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269A5E65"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D.- Seguridad Pública</w:t>
            </w:r>
          </w:p>
        </w:tc>
        <w:tc>
          <w:tcPr>
            <w:tcW w:w="0" w:type="auto"/>
            <w:tcBorders>
              <w:top w:val="nil"/>
              <w:left w:val="nil"/>
              <w:bottom w:val="nil"/>
              <w:right w:val="nil"/>
            </w:tcBorders>
            <w:shd w:val="clear" w:color="auto" w:fill="auto"/>
            <w:noWrap/>
            <w:vAlign w:val="center"/>
            <w:hideMark/>
          </w:tcPr>
          <w:p w14:paraId="0B240BE8"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1,291.26 </w:t>
            </w:r>
          </w:p>
        </w:tc>
        <w:tc>
          <w:tcPr>
            <w:tcW w:w="0" w:type="auto"/>
            <w:tcBorders>
              <w:top w:val="nil"/>
              <w:left w:val="nil"/>
              <w:bottom w:val="nil"/>
              <w:right w:val="nil"/>
            </w:tcBorders>
            <w:shd w:val="clear" w:color="auto" w:fill="auto"/>
            <w:noWrap/>
            <w:hideMark/>
          </w:tcPr>
          <w:p w14:paraId="00E97424"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1,713.95 </w:t>
            </w:r>
          </w:p>
        </w:tc>
        <w:tc>
          <w:tcPr>
            <w:tcW w:w="0" w:type="auto"/>
            <w:tcBorders>
              <w:top w:val="nil"/>
              <w:left w:val="nil"/>
              <w:bottom w:val="nil"/>
              <w:right w:val="nil"/>
            </w:tcBorders>
            <w:shd w:val="clear" w:color="auto" w:fill="auto"/>
            <w:noWrap/>
            <w:hideMark/>
          </w:tcPr>
          <w:p w14:paraId="171926AD"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422.69 </w:t>
            </w:r>
          </w:p>
        </w:tc>
        <w:tc>
          <w:tcPr>
            <w:tcW w:w="0" w:type="auto"/>
            <w:tcBorders>
              <w:top w:val="nil"/>
              <w:left w:val="nil"/>
              <w:bottom w:val="nil"/>
              <w:right w:val="nil"/>
            </w:tcBorders>
            <w:shd w:val="clear" w:color="auto" w:fill="auto"/>
            <w:noWrap/>
            <w:hideMark/>
          </w:tcPr>
          <w:p w14:paraId="3AED8B06"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32.74 </w:t>
            </w:r>
          </w:p>
        </w:tc>
      </w:tr>
      <w:tr w:rsidR="00835574" w:rsidRPr="00835574" w14:paraId="268DE5ED"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50B21B5A"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F.- Sentencias Laborales Definitivas</w:t>
            </w:r>
          </w:p>
        </w:tc>
        <w:tc>
          <w:tcPr>
            <w:tcW w:w="0" w:type="auto"/>
            <w:tcBorders>
              <w:top w:val="nil"/>
              <w:left w:val="nil"/>
              <w:bottom w:val="nil"/>
              <w:right w:val="nil"/>
            </w:tcBorders>
            <w:shd w:val="clear" w:color="auto" w:fill="auto"/>
            <w:noWrap/>
            <w:vAlign w:val="center"/>
            <w:hideMark/>
          </w:tcPr>
          <w:p w14:paraId="5BD02708"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   </w:t>
            </w:r>
          </w:p>
        </w:tc>
        <w:tc>
          <w:tcPr>
            <w:tcW w:w="0" w:type="auto"/>
            <w:tcBorders>
              <w:top w:val="nil"/>
              <w:left w:val="nil"/>
              <w:bottom w:val="nil"/>
              <w:right w:val="nil"/>
            </w:tcBorders>
            <w:shd w:val="clear" w:color="auto" w:fill="auto"/>
            <w:noWrap/>
            <w:hideMark/>
          </w:tcPr>
          <w:p w14:paraId="5B7647DA"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0.00 </w:t>
            </w:r>
          </w:p>
        </w:tc>
        <w:tc>
          <w:tcPr>
            <w:tcW w:w="0" w:type="auto"/>
            <w:tcBorders>
              <w:top w:val="nil"/>
              <w:left w:val="nil"/>
              <w:bottom w:val="nil"/>
              <w:right w:val="nil"/>
            </w:tcBorders>
            <w:shd w:val="clear" w:color="auto" w:fill="auto"/>
            <w:noWrap/>
            <w:hideMark/>
          </w:tcPr>
          <w:p w14:paraId="63AF7040"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0.00 </w:t>
            </w:r>
          </w:p>
        </w:tc>
        <w:tc>
          <w:tcPr>
            <w:tcW w:w="0" w:type="auto"/>
            <w:tcBorders>
              <w:top w:val="nil"/>
              <w:left w:val="nil"/>
              <w:bottom w:val="nil"/>
              <w:right w:val="nil"/>
            </w:tcBorders>
            <w:shd w:val="clear" w:color="auto" w:fill="auto"/>
            <w:noWrap/>
            <w:hideMark/>
          </w:tcPr>
          <w:p w14:paraId="5C724354"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0.00 </w:t>
            </w:r>
          </w:p>
        </w:tc>
      </w:tr>
      <w:tr w:rsidR="00835574" w:rsidRPr="00835574" w14:paraId="60FEAF26"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2CBA8AF8" w14:textId="77777777" w:rsidR="00A51759" w:rsidRPr="00835574" w:rsidRDefault="00A51759" w:rsidP="009F17D2">
            <w:pPr>
              <w:spacing w:after="0" w:line="360" w:lineRule="auto"/>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II. Gasto Etiquetado</w:t>
            </w:r>
          </w:p>
        </w:tc>
        <w:tc>
          <w:tcPr>
            <w:tcW w:w="0" w:type="auto"/>
            <w:tcBorders>
              <w:top w:val="nil"/>
              <w:left w:val="nil"/>
              <w:bottom w:val="nil"/>
              <w:right w:val="nil"/>
            </w:tcBorders>
            <w:shd w:val="clear" w:color="auto" w:fill="auto"/>
            <w:noWrap/>
            <w:vAlign w:val="center"/>
            <w:hideMark/>
          </w:tcPr>
          <w:p w14:paraId="0B7205B8"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           31,188.08 </w:t>
            </w:r>
          </w:p>
        </w:tc>
        <w:tc>
          <w:tcPr>
            <w:tcW w:w="0" w:type="auto"/>
            <w:tcBorders>
              <w:top w:val="nil"/>
              <w:left w:val="nil"/>
              <w:bottom w:val="nil"/>
              <w:right w:val="nil"/>
            </w:tcBorders>
            <w:shd w:val="clear" w:color="auto" w:fill="auto"/>
            <w:noWrap/>
            <w:hideMark/>
          </w:tcPr>
          <w:p w14:paraId="30520B1C"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35,410.53 </w:t>
            </w:r>
          </w:p>
        </w:tc>
        <w:tc>
          <w:tcPr>
            <w:tcW w:w="0" w:type="auto"/>
            <w:tcBorders>
              <w:top w:val="nil"/>
              <w:left w:val="nil"/>
              <w:bottom w:val="nil"/>
              <w:right w:val="nil"/>
            </w:tcBorders>
            <w:shd w:val="clear" w:color="auto" w:fill="auto"/>
            <w:noWrap/>
            <w:hideMark/>
          </w:tcPr>
          <w:p w14:paraId="5680EB8A"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4,222.45 </w:t>
            </w:r>
          </w:p>
        </w:tc>
        <w:tc>
          <w:tcPr>
            <w:tcW w:w="0" w:type="auto"/>
            <w:tcBorders>
              <w:top w:val="nil"/>
              <w:left w:val="nil"/>
              <w:bottom w:val="nil"/>
              <w:right w:val="nil"/>
            </w:tcBorders>
            <w:shd w:val="clear" w:color="auto" w:fill="auto"/>
            <w:noWrap/>
            <w:hideMark/>
          </w:tcPr>
          <w:p w14:paraId="2AD8FA15"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13.54 </w:t>
            </w:r>
          </w:p>
        </w:tc>
      </w:tr>
      <w:tr w:rsidR="00835574" w:rsidRPr="00835574" w14:paraId="4BAC0A01"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25923580"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A.- Personal Administrativo y de Servicio Público</w:t>
            </w:r>
          </w:p>
        </w:tc>
        <w:tc>
          <w:tcPr>
            <w:tcW w:w="0" w:type="auto"/>
            <w:tcBorders>
              <w:top w:val="nil"/>
              <w:left w:val="nil"/>
              <w:bottom w:val="nil"/>
              <w:right w:val="nil"/>
            </w:tcBorders>
            <w:shd w:val="clear" w:color="auto" w:fill="auto"/>
            <w:noWrap/>
            <w:vAlign w:val="center"/>
            <w:hideMark/>
          </w:tcPr>
          <w:p w14:paraId="751B2A2A"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18.72 </w:t>
            </w:r>
          </w:p>
        </w:tc>
        <w:tc>
          <w:tcPr>
            <w:tcW w:w="0" w:type="auto"/>
            <w:tcBorders>
              <w:top w:val="nil"/>
              <w:left w:val="nil"/>
              <w:bottom w:val="nil"/>
              <w:right w:val="nil"/>
            </w:tcBorders>
            <w:shd w:val="clear" w:color="auto" w:fill="auto"/>
            <w:noWrap/>
            <w:hideMark/>
          </w:tcPr>
          <w:p w14:paraId="2E2D9614"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369.02 </w:t>
            </w:r>
          </w:p>
        </w:tc>
        <w:tc>
          <w:tcPr>
            <w:tcW w:w="0" w:type="auto"/>
            <w:tcBorders>
              <w:top w:val="nil"/>
              <w:left w:val="nil"/>
              <w:bottom w:val="nil"/>
              <w:right w:val="nil"/>
            </w:tcBorders>
            <w:shd w:val="clear" w:color="auto" w:fill="auto"/>
            <w:noWrap/>
            <w:hideMark/>
          </w:tcPr>
          <w:p w14:paraId="25E34AD1"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350.30 </w:t>
            </w:r>
          </w:p>
        </w:tc>
        <w:tc>
          <w:tcPr>
            <w:tcW w:w="0" w:type="auto"/>
            <w:tcBorders>
              <w:top w:val="nil"/>
              <w:left w:val="nil"/>
              <w:bottom w:val="nil"/>
              <w:right w:val="nil"/>
            </w:tcBorders>
            <w:shd w:val="clear" w:color="auto" w:fill="auto"/>
            <w:noWrap/>
            <w:hideMark/>
          </w:tcPr>
          <w:p w14:paraId="1BBA0DB1"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1,871.67 </w:t>
            </w:r>
          </w:p>
        </w:tc>
      </w:tr>
      <w:tr w:rsidR="00835574" w:rsidRPr="00835574" w14:paraId="05631D91"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2208A5E0"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B.- Magisterio</w:t>
            </w:r>
          </w:p>
        </w:tc>
        <w:tc>
          <w:tcPr>
            <w:tcW w:w="0" w:type="auto"/>
            <w:tcBorders>
              <w:top w:val="nil"/>
              <w:left w:val="nil"/>
              <w:bottom w:val="nil"/>
              <w:right w:val="nil"/>
            </w:tcBorders>
            <w:shd w:val="clear" w:color="auto" w:fill="auto"/>
            <w:noWrap/>
            <w:vAlign w:val="center"/>
            <w:hideMark/>
          </w:tcPr>
          <w:p w14:paraId="40D0503A"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26,773.44 </w:t>
            </w:r>
          </w:p>
        </w:tc>
        <w:tc>
          <w:tcPr>
            <w:tcW w:w="0" w:type="auto"/>
            <w:tcBorders>
              <w:top w:val="nil"/>
              <w:left w:val="nil"/>
              <w:bottom w:val="nil"/>
              <w:right w:val="nil"/>
            </w:tcBorders>
            <w:shd w:val="clear" w:color="auto" w:fill="auto"/>
            <w:noWrap/>
            <w:hideMark/>
          </w:tcPr>
          <w:p w14:paraId="12A29059"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28,835.26 </w:t>
            </w:r>
          </w:p>
        </w:tc>
        <w:tc>
          <w:tcPr>
            <w:tcW w:w="0" w:type="auto"/>
            <w:tcBorders>
              <w:top w:val="nil"/>
              <w:left w:val="nil"/>
              <w:bottom w:val="nil"/>
              <w:right w:val="nil"/>
            </w:tcBorders>
            <w:shd w:val="clear" w:color="auto" w:fill="auto"/>
            <w:noWrap/>
            <w:hideMark/>
          </w:tcPr>
          <w:p w14:paraId="0188608E"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2,061.82 </w:t>
            </w:r>
          </w:p>
        </w:tc>
        <w:tc>
          <w:tcPr>
            <w:tcW w:w="0" w:type="auto"/>
            <w:tcBorders>
              <w:top w:val="nil"/>
              <w:left w:val="nil"/>
              <w:bottom w:val="nil"/>
              <w:right w:val="nil"/>
            </w:tcBorders>
            <w:shd w:val="clear" w:color="auto" w:fill="auto"/>
            <w:noWrap/>
            <w:hideMark/>
          </w:tcPr>
          <w:p w14:paraId="67ECE03B"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7.70 </w:t>
            </w:r>
          </w:p>
        </w:tc>
      </w:tr>
      <w:tr w:rsidR="00835574" w:rsidRPr="00835574" w14:paraId="104FAE2D"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4671F25B"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C.- Servicios de Salud</w:t>
            </w:r>
          </w:p>
        </w:tc>
        <w:tc>
          <w:tcPr>
            <w:tcW w:w="0" w:type="auto"/>
            <w:tcBorders>
              <w:top w:val="nil"/>
              <w:left w:val="nil"/>
              <w:bottom w:val="nil"/>
              <w:right w:val="nil"/>
            </w:tcBorders>
            <w:shd w:val="clear" w:color="auto" w:fill="auto"/>
            <w:noWrap/>
            <w:vAlign w:val="center"/>
            <w:hideMark/>
          </w:tcPr>
          <w:p w14:paraId="1C6B6D1F"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4,395.93 </w:t>
            </w:r>
          </w:p>
        </w:tc>
        <w:tc>
          <w:tcPr>
            <w:tcW w:w="0" w:type="auto"/>
            <w:tcBorders>
              <w:top w:val="nil"/>
              <w:left w:val="nil"/>
              <w:bottom w:val="nil"/>
              <w:right w:val="nil"/>
            </w:tcBorders>
            <w:shd w:val="clear" w:color="auto" w:fill="auto"/>
            <w:noWrap/>
            <w:hideMark/>
          </w:tcPr>
          <w:p w14:paraId="6045EC7E"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6,206.24 </w:t>
            </w:r>
          </w:p>
        </w:tc>
        <w:tc>
          <w:tcPr>
            <w:tcW w:w="0" w:type="auto"/>
            <w:tcBorders>
              <w:top w:val="nil"/>
              <w:left w:val="nil"/>
              <w:bottom w:val="nil"/>
              <w:right w:val="nil"/>
            </w:tcBorders>
            <w:shd w:val="clear" w:color="auto" w:fill="auto"/>
            <w:noWrap/>
            <w:hideMark/>
          </w:tcPr>
          <w:p w14:paraId="758E7A62"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1,810.32 </w:t>
            </w:r>
          </w:p>
        </w:tc>
        <w:tc>
          <w:tcPr>
            <w:tcW w:w="0" w:type="auto"/>
            <w:tcBorders>
              <w:top w:val="nil"/>
              <w:left w:val="nil"/>
              <w:bottom w:val="nil"/>
              <w:right w:val="nil"/>
            </w:tcBorders>
            <w:shd w:val="clear" w:color="auto" w:fill="auto"/>
            <w:noWrap/>
            <w:hideMark/>
          </w:tcPr>
          <w:p w14:paraId="75F9EEEB"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41.18 </w:t>
            </w:r>
          </w:p>
        </w:tc>
      </w:tr>
      <w:tr w:rsidR="00835574" w:rsidRPr="00835574" w14:paraId="730DAFD1"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5BD9B11D"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D.- Seguridad Pública</w:t>
            </w:r>
          </w:p>
        </w:tc>
        <w:tc>
          <w:tcPr>
            <w:tcW w:w="0" w:type="auto"/>
            <w:tcBorders>
              <w:top w:val="nil"/>
              <w:left w:val="nil"/>
              <w:bottom w:val="nil"/>
              <w:right w:val="nil"/>
            </w:tcBorders>
            <w:shd w:val="clear" w:color="auto" w:fill="auto"/>
            <w:noWrap/>
            <w:vAlign w:val="center"/>
            <w:hideMark/>
          </w:tcPr>
          <w:p w14:paraId="496C8B4A"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   </w:t>
            </w:r>
          </w:p>
        </w:tc>
        <w:tc>
          <w:tcPr>
            <w:tcW w:w="0" w:type="auto"/>
            <w:tcBorders>
              <w:top w:val="nil"/>
              <w:left w:val="nil"/>
              <w:bottom w:val="nil"/>
              <w:right w:val="nil"/>
            </w:tcBorders>
            <w:shd w:val="clear" w:color="auto" w:fill="auto"/>
            <w:noWrap/>
            <w:hideMark/>
          </w:tcPr>
          <w:p w14:paraId="642862FB"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0.00 </w:t>
            </w:r>
          </w:p>
        </w:tc>
        <w:tc>
          <w:tcPr>
            <w:tcW w:w="0" w:type="auto"/>
            <w:tcBorders>
              <w:top w:val="nil"/>
              <w:left w:val="nil"/>
              <w:bottom w:val="nil"/>
              <w:right w:val="nil"/>
            </w:tcBorders>
            <w:shd w:val="clear" w:color="auto" w:fill="auto"/>
            <w:noWrap/>
            <w:hideMark/>
          </w:tcPr>
          <w:p w14:paraId="7C6A33DC"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0.00 </w:t>
            </w:r>
          </w:p>
        </w:tc>
        <w:tc>
          <w:tcPr>
            <w:tcW w:w="0" w:type="auto"/>
            <w:tcBorders>
              <w:top w:val="nil"/>
              <w:left w:val="nil"/>
              <w:bottom w:val="nil"/>
              <w:right w:val="nil"/>
            </w:tcBorders>
            <w:shd w:val="clear" w:color="auto" w:fill="auto"/>
            <w:noWrap/>
            <w:hideMark/>
          </w:tcPr>
          <w:p w14:paraId="115488B8"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0.00 </w:t>
            </w:r>
          </w:p>
        </w:tc>
      </w:tr>
      <w:tr w:rsidR="00835574" w:rsidRPr="00835574" w14:paraId="1C92B049"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6F1ECEDF" w14:textId="77777777" w:rsidR="00A51759" w:rsidRPr="00835574" w:rsidRDefault="00A51759" w:rsidP="009F17D2">
            <w:pPr>
              <w:spacing w:after="0" w:line="360" w:lineRule="auto"/>
              <w:rPr>
                <w:rFonts w:ascii="Arial" w:eastAsia="Times New Roman" w:hAnsi="Arial" w:cs="Arial"/>
                <w:sz w:val="14"/>
                <w:szCs w:val="14"/>
                <w:lang w:eastAsia="es-MX"/>
              </w:rPr>
            </w:pPr>
            <w:r w:rsidRPr="00835574">
              <w:rPr>
                <w:rFonts w:ascii="Arial" w:eastAsia="Times New Roman" w:hAnsi="Arial" w:cs="Arial"/>
                <w:sz w:val="14"/>
                <w:szCs w:val="14"/>
                <w:lang w:eastAsia="es-MX"/>
              </w:rPr>
              <w:t>F.- Sentencias Laborales Definitivas</w:t>
            </w:r>
          </w:p>
        </w:tc>
        <w:tc>
          <w:tcPr>
            <w:tcW w:w="0" w:type="auto"/>
            <w:tcBorders>
              <w:top w:val="nil"/>
              <w:left w:val="nil"/>
              <w:bottom w:val="nil"/>
              <w:right w:val="nil"/>
            </w:tcBorders>
            <w:shd w:val="clear" w:color="auto" w:fill="auto"/>
            <w:noWrap/>
            <w:vAlign w:val="center"/>
            <w:hideMark/>
          </w:tcPr>
          <w:p w14:paraId="0BF33B39"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                                -   </w:t>
            </w:r>
          </w:p>
        </w:tc>
        <w:tc>
          <w:tcPr>
            <w:tcW w:w="0" w:type="auto"/>
            <w:tcBorders>
              <w:top w:val="nil"/>
              <w:left w:val="nil"/>
              <w:bottom w:val="nil"/>
              <w:right w:val="nil"/>
            </w:tcBorders>
            <w:shd w:val="clear" w:color="auto" w:fill="auto"/>
            <w:noWrap/>
            <w:hideMark/>
          </w:tcPr>
          <w:p w14:paraId="0D33B714"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0.00 </w:t>
            </w:r>
          </w:p>
        </w:tc>
        <w:tc>
          <w:tcPr>
            <w:tcW w:w="0" w:type="auto"/>
            <w:tcBorders>
              <w:top w:val="nil"/>
              <w:left w:val="nil"/>
              <w:bottom w:val="nil"/>
              <w:right w:val="nil"/>
            </w:tcBorders>
            <w:shd w:val="clear" w:color="auto" w:fill="auto"/>
            <w:noWrap/>
            <w:hideMark/>
          </w:tcPr>
          <w:p w14:paraId="140324AE"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0.00 </w:t>
            </w:r>
          </w:p>
        </w:tc>
        <w:tc>
          <w:tcPr>
            <w:tcW w:w="0" w:type="auto"/>
            <w:tcBorders>
              <w:top w:val="nil"/>
              <w:left w:val="nil"/>
              <w:bottom w:val="nil"/>
              <w:right w:val="nil"/>
            </w:tcBorders>
            <w:shd w:val="clear" w:color="auto" w:fill="auto"/>
            <w:noWrap/>
            <w:hideMark/>
          </w:tcPr>
          <w:p w14:paraId="57A2D358"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sz w:val="14"/>
                <w:szCs w:val="14"/>
                <w:lang w:eastAsia="es-MX"/>
              </w:rPr>
              <w:t xml:space="preserve">0.00 </w:t>
            </w:r>
          </w:p>
        </w:tc>
      </w:tr>
      <w:tr w:rsidR="00835574" w:rsidRPr="00835574" w14:paraId="1B3AB3AE" w14:textId="77777777" w:rsidTr="007C4935">
        <w:trPr>
          <w:trHeight w:val="227"/>
          <w:jc w:val="center"/>
        </w:trPr>
        <w:tc>
          <w:tcPr>
            <w:tcW w:w="0" w:type="auto"/>
            <w:tcBorders>
              <w:top w:val="nil"/>
              <w:left w:val="nil"/>
              <w:bottom w:val="nil"/>
              <w:right w:val="nil"/>
            </w:tcBorders>
            <w:shd w:val="clear" w:color="auto" w:fill="D0CECE" w:themeFill="background2" w:themeFillShade="E6"/>
            <w:noWrap/>
            <w:vAlign w:val="center"/>
            <w:hideMark/>
          </w:tcPr>
          <w:p w14:paraId="4281A7C7" w14:textId="77777777" w:rsidR="00A51759" w:rsidRPr="00835574" w:rsidRDefault="00A51759" w:rsidP="009F17D2">
            <w:pPr>
              <w:spacing w:after="0" w:line="360" w:lineRule="auto"/>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Total de la AGSP</w:t>
            </w:r>
          </w:p>
        </w:tc>
        <w:tc>
          <w:tcPr>
            <w:tcW w:w="0" w:type="auto"/>
            <w:tcBorders>
              <w:top w:val="nil"/>
              <w:left w:val="nil"/>
              <w:bottom w:val="nil"/>
              <w:right w:val="nil"/>
            </w:tcBorders>
            <w:shd w:val="clear" w:color="auto" w:fill="D0CECE" w:themeFill="background2" w:themeFillShade="E6"/>
            <w:noWrap/>
            <w:vAlign w:val="center"/>
            <w:hideMark/>
          </w:tcPr>
          <w:p w14:paraId="030E4D2C"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           42,915.52 </w:t>
            </w:r>
          </w:p>
        </w:tc>
        <w:tc>
          <w:tcPr>
            <w:tcW w:w="0" w:type="auto"/>
            <w:tcBorders>
              <w:top w:val="nil"/>
              <w:left w:val="nil"/>
              <w:bottom w:val="nil"/>
              <w:right w:val="nil"/>
            </w:tcBorders>
            <w:shd w:val="clear" w:color="auto" w:fill="D0CECE" w:themeFill="background2" w:themeFillShade="E6"/>
            <w:noWrap/>
            <w:vAlign w:val="center"/>
            <w:hideMark/>
          </w:tcPr>
          <w:p w14:paraId="56B33639"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50,698.29</w:t>
            </w:r>
          </w:p>
        </w:tc>
        <w:tc>
          <w:tcPr>
            <w:tcW w:w="0" w:type="auto"/>
            <w:tcBorders>
              <w:top w:val="nil"/>
              <w:left w:val="nil"/>
              <w:bottom w:val="nil"/>
              <w:right w:val="nil"/>
            </w:tcBorders>
            <w:shd w:val="clear" w:color="auto" w:fill="D0CECE" w:themeFill="background2" w:themeFillShade="E6"/>
            <w:noWrap/>
            <w:hideMark/>
          </w:tcPr>
          <w:p w14:paraId="34340D1D"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7,782.77 </w:t>
            </w:r>
          </w:p>
        </w:tc>
        <w:tc>
          <w:tcPr>
            <w:tcW w:w="0" w:type="auto"/>
            <w:tcBorders>
              <w:top w:val="nil"/>
              <w:left w:val="nil"/>
              <w:bottom w:val="nil"/>
              <w:right w:val="nil"/>
            </w:tcBorders>
            <w:shd w:val="clear" w:color="auto" w:fill="D0CECE" w:themeFill="background2" w:themeFillShade="E6"/>
            <w:noWrap/>
            <w:hideMark/>
          </w:tcPr>
          <w:p w14:paraId="4BE7EB4D" w14:textId="77777777" w:rsidR="00A51759" w:rsidRPr="00835574" w:rsidRDefault="00A51759" w:rsidP="009F17D2">
            <w:pPr>
              <w:spacing w:after="0" w:line="360" w:lineRule="auto"/>
              <w:jc w:val="right"/>
              <w:rPr>
                <w:rFonts w:ascii="Arial" w:eastAsia="Times New Roman" w:hAnsi="Arial" w:cs="Arial"/>
                <w:sz w:val="14"/>
                <w:szCs w:val="14"/>
                <w:lang w:eastAsia="es-MX"/>
              </w:rPr>
            </w:pPr>
            <w:r w:rsidRPr="00835574">
              <w:rPr>
                <w:rFonts w:ascii="Arial" w:eastAsia="Times New Roman" w:hAnsi="Arial" w:cs="Arial"/>
                <w:b/>
                <w:bCs/>
                <w:sz w:val="14"/>
                <w:szCs w:val="14"/>
                <w:lang w:eastAsia="es-MX"/>
              </w:rPr>
              <w:t>18.14</w:t>
            </w:r>
            <w:r w:rsidRPr="00835574">
              <w:rPr>
                <w:rFonts w:ascii="Arial" w:eastAsia="Times New Roman" w:hAnsi="Arial" w:cs="Arial"/>
                <w:sz w:val="14"/>
                <w:szCs w:val="14"/>
                <w:lang w:eastAsia="es-MX"/>
              </w:rPr>
              <w:t xml:space="preserve"> </w:t>
            </w:r>
          </w:p>
        </w:tc>
      </w:tr>
      <w:tr w:rsidR="00835574" w:rsidRPr="00835574" w14:paraId="47192302"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360BD15C" w14:textId="77777777" w:rsidR="00A51759" w:rsidRPr="00835574" w:rsidRDefault="00A51759" w:rsidP="009F17D2">
            <w:pPr>
              <w:spacing w:after="0" w:line="360" w:lineRule="auto"/>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Menos incrementos en los Servicios de Salud</w:t>
            </w:r>
          </w:p>
        </w:tc>
        <w:tc>
          <w:tcPr>
            <w:tcW w:w="0" w:type="auto"/>
            <w:tcBorders>
              <w:top w:val="nil"/>
              <w:left w:val="nil"/>
              <w:bottom w:val="nil"/>
              <w:right w:val="nil"/>
            </w:tcBorders>
            <w:shd w:val="clear" w:color="auto" w:fill="auto"/>
            <w:noWrap/>
            <w:vAlign w:val="center"/>
            <w:hideMark/>
          </w:tcPr>
          <w:p w14:paraId="7E6B8445"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p>
        </w:tc>
        <w:tc>
          <w:tcPr>
            <w:tcW w:w="0" w:type="auto"/>
            <w:tcBorders>
              <w:top w:val="nil"/>
              <w:left w:val="nil"/>
              <w:bottom w:val="nil"/>
              <w:right w:val="nil"/>
            </w:tcBorders>
            <w:shd w:val="clear" w:color="auto" w:fill="auto"/>
            <w:noWrap/>
            <w:vAlign w:val="center"/>
            <w:hideMark/>
          </w:tcPr>
          <w:p w14:paraId="7DBE40B3" w14:textId="77777777" w:rsidR="00A51759" w:rsidRPr="00835574" w:rsidRDefault="00A51759" w:rsidP="009F17D2">
            <w:pPr>
              <w:spacing w:after="0" w:line="360" w:lineRule="auto"/>
              <w:jc w:val="right"/>
              <w:rPr>
                <w:rFonts w:ascii="Arial" w:eastAsia="Times New Roman" w:hAnsi="Arial" w:cs="Arial"/>
                <w:b/>
                <w:bCs/>
                <w:i/>
                <w:iCs/>
                <w:sz w:val="14"/>
                <w:szCs w:val="14"/>
                <w:lang w:eastAsia="es-MX"/>
              </w:rPr>
            </w:pPr>
            <w:r w:rsidRPr="00835574">
              <w:rPr>
                <w:rFonts w:ascii="Arial" w:eastAsia="Times New Roman" w:hAnsi="Arial" w:cs="Arial"/>
                <w:b/>
                <w:bCs/>
                <w:i/>
                <w:iCs/>
                <w:sz w:val="14"/>
                <w:szCs w:val="14"/>
                <w:lang w:eastAsia="es-MX"/>
              </w:rPr>
              <w:t xml:space="preserve">            3,091.67 </w:t>
            </w:r>
          </w:p>
        </w:tc>
        <w:tc>
          <w:tcPr>
            <w:tcW w:w="0" w:type="auto"/>
            <w:tcBorders>
              <w:top w:val="nil"/>
              <w:left w:val="nil"/>
              <w:bottom w:val="nil"/>
              <w:right w:val="nil"/>
            </w:tcBorders>
            <w:shd w:val="clear" w:color="auto" w:fill="auto"/>
            <w:noWrap/>
            <w:vAlign w:val="center"/>
            <w:hideMark/>
          </w:tcPr>
          <w:p w14:paraId="06C51A20" w14:textId="77777777" w:rsidR="00A51759" w:rsidRPr="00835574" w:rsidRDefault="00A51759" w:rsidP="009F17D2">
            <w:pPr>
              <w:spacing w:after="0" w:line="360" w:lineRule="auto"/>
              <w:jc w:val="right"/>
              <w:rPr>
                <w:rFonts w:ascii="Arial" w:eastAsia="Times New Roman" w:hAnsi="Arial" w:cs="Arial"/>
                <w:b/>
                <w:bCs/>
                <w:i/>
                <w:iCs/>
                <w:sz w:val="14"/>
                <w:szCs w:val="14"/>
                <w:lang w:eastAsia="es-MX"/>
              </w:rPr>
            </w:pPr>
          </w:p>
        </w:tc>
        <w:tc>
          <w:tcPr>
            <w:tcW w:w="0" w:type="auto"/>
            <w:tcBorders>
              <w:top w:val="nil"/>
              <w:left w:val="nil"/>
              <w:bottom w:val="nil"/>
              <w:right w:val="nil"/>
            </w:tcBorders>
            <w:shd w:val="clear" w:color="auto" w:fill="auto"/>
            <w:noWrap/>
            <w:vAlign w:val="center"/>
            <w:hideMark/>
          </w:tcPr>
          <w:p w14:paraId="52880448" w14:textId="77777777" w:rsidR="00A51759" w:rsidRPr="00835574" w:rsidRDefault="00A51759" w:rsidP="009F17D2">
            <w:pPr>
              <w:spacing w:after="0" w:line="360" w:lineRule="auto"/>
              <w:jc w:val="right"/>
              <w:rPr>
                <w:rFonts w:ascii="Arial" w:eastAsia="Times New Roman" w:hAnsi="Arial" w:cs="Arial"/>
                <w:sz w:val="14"/>
                <w:szCs w:val="14"/>
                <w:lang w:eastAsia="es-MX"/>
              </w:rPr>
            </w:pPr>
          </w:p>
        </w:tc>
      </w:tr>
      <w:tr w:rsidR="00835574" w:rsidRPr="00835574" w14:paraId="5930A6AB"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2A60F04D" w14:textId="77777777" w:rsidR="00A51759" w:rsidRPr="00835574" w:rsidRDefault="00A51759" w:rsidP="009F17D2">
            <w:pPr>
              <w:spacing w:after="0" w:line="360" w:lineRule="auto"/>
              <w:ind w:left="708"/>
              <w:rPr>
                <w:rFonts w:ascii="Arial" w:eastAsia="Times New Roman" w:hAnsi="Arial" w:cs="Arial"/>
                <w:i/>
                <w:iCs/>
                <w:sz w:val="14"/>
                <w:szCs w:val="14"/>
                <w:lang w:eastAsia="es-MX"/>
              </w:rPr>
            </w:pPr>
            <w:r w:rsidRPr="00835574">
              <w:rPr>
                <w:rFonts w:ascii="Arial" w:eastAsia="Times New Roman" w:hAnsi="Arial" w:cs="Arial"/>
                <w:i/>
                <w:iCs/>
                <w:sz w:val="14"/>
                <w:szCs w:val="14"/>
                <w:lang w:eastAsia="es-MX"/>
              </w:rPr>
              <w:t>Ase líquida (Proyección)</w:t>
            </w:r>
          </w:p>
        </w:tc>
        <w:tc>
          <w:tcPr>
            <w:tcW w:w="0" w:type="auto"/>
            <w:tcBorders>
              <w:top w:val="nil"/>
              <w:left w:val="nil"/>
              <w:bottom w:val="nil"/>
              <w:right w:val="nil"/>
            </w:tcBorders>
            <w:shd w:val="clear" w:color="auto" w:fill="auto"/>
            <w:noWrap/>
            <w:vAlign w:val="center"/>
            <w:hideMark/>
          </w:tcPr>
          <w:p w14:paraId="63EF7504" w14:textId="77777777" w:rsidR="00A51759" w:rsidRPr="00835574" w:rsidRDefault="00A51759" w:rsidP="009F17D2">
            <w:pPr>
              <w:spacing w:after="0" w:line="360" w:lineRule="auto"/>
              <w:jc w:val="right"/>
              <w:rPr>
                <w:rFonts w:ascii="Arial" w:eastAsia="Times New Roman" w:hAnsi="Arial" w:cs="Arial"/>
                <w:i/>
                <w:iCs/>
                <w:sz w:val="14"/>
                <w:szCs w:val="14"/>
                <w:lang w:eastAsia="es-MX"/>
              </w:rPr>
            </w:pPr>
          </w:p>
        </w:tc>
        <w:tc>
          <w:tcPr>
            <w:tcW w:w="0" w:type="auto"/>
            <w:tcBorders>
              <w:top w:val="nil"/>
              <w:left w:val="nil"/>
              <w:bottom w:val="nil"/>
              <w:right w:val="nil"/>
            </w:tcBorders>
            <w:shd w:val="clear" w:color="auto" w:fill="auto"/>
            <w:noWrap/>
            <w:vAlign w:val="center"/>
            <w:hideMark/>
          </w:tcPr>
          <w:p w14:paraId="7468F962" w14:textId="77777777" w:rsidR="00A51759" w:rsidRPr="00835574" w:rsidRDefault="00A51759" w:rsidP="009F17D2">
            <w:pPr>
              <w:spacing w:after="0" w:line="360" w:lineRule="auto"/>
              <w:jc w:val="right"/>
              <w:rPr>
                <w:rFonts w:ascii="Arial" w:eastAsia="Times New Roman" w:hAnsi="Arial" w:cs="Arial"/>
                <w:i/>
                <w:iCs/>
                <w:sz w:val="14"/>
                <w:szCs w:val="14"/>
                <w:lang w:eastAsia="es-MX"/>
              </w:rPr>
            </w:pPr>
            <w:r w:rsidRPr="00835574">
              <w:rPr>
                <w:rFonts w:ascii="Arial" w:eastAsia="Times New Roman" w:hAnsi="Arial" w:cs="Arial"/>
                <w:i/>
                <w:iCs/>
                <w:sz w:val="14"/>
                <w:szCs w:val="14"/>
                <w:lang w:eastAsia="es-MX"/>
              </w:rPr>
              <w:t xml:space="preserve">                   1,172.67 </w:t>
            </w:r>
          </w:p>
        </w:tc>
        <w:tc>
          <w:tcPr>
            <w:tcW w:w="0" w:type="auto"/>
            <w:tcBorders>
              <w:top w:val="nil"/>
              <w:left w:val="nil"/>
              <w:bottom w:val="nil"/>
              <w:right w:val="nil"/>
            </w:tcBorders>
            <w:shd w:val="clear" w:color="auto" w:fill="auto"/>
            <w:noWrap/>
            <w:vAlign w:val="center"/>
            <w:hideMark/>
          </w:tcPr>
          <w:p w14:paraId="7A342A1F" w14:textId="77777777" w:rsidR="00A51759" w:rsidRPr="00835574" w:rsidRDefault="00A51759" w:rsidP="009F17D2">
            <w:pPr>
              <w:spacing w:after="0" w:line="360" w:lineRule="auto"/>
              <w:jc w:val="right"/>
              <w:rPr>
                <w:rFonts w:ascii="Arial" w:eastAsia="Times New Roman" w:hAnsi="Arial" w:cs="Arial"/>
                <w:i/>
                <w:iCs/>
                <w:sz w:val="14"/>
                <w:szCs w:val="14"/>
                <w:lang w:eastAsia="es-MX"/>
              </w:rPr>
            </w:pPr>
          </w:p>
        </w:tc>
        <w:tc>
          <w:tcPr>
            <w:tcW w:w="0" w:type="auto"/>
            <w:tcBorders>
              <w:top w:val="nil"/>
              <w:left w:val="nil"/>
              <w:bottom w:val="nil"/>
              <w:right w:val="nil"/>
            </w:tcBorders>
            <w:shd w:val="clear" w:color="auto" w:fill="auto"/>
            <w:noWrap/>
            <w:vAlign w:val="center"/>
            <w:hideMark/>
          </w:tcPr>
          <w:p w14:paraId="3E40DB7A" w14:textId="77777777" w:rsidR="00A51759" w:rsidRPr="00835574" w:rsidRDefault="00A51759" w:rsidP="009F17D2">
            <w:pPr>
              <w:spacing w:after="0" w:line="360" w:lineRule="auto"/>
              <w:jc w:val="right"/>
              <w:rPr>
                <w:rFonts w:ascii="Arial" w:eastAsia="Times New Roman" w:hAnsi="Arial" w:cs="Arial"/>
                <w:sz w:val="14"/>
                <w:szCs w:val="14"/>
                <w:lang w:eastAsia="es-MX"/>
              </w:rPr>
            </w:pPr>
          </w:p>
        </w:tc>
      </w:tr>
      <w:tr w:rsidR="00835574" w:rsidRPr="00835574" w14:paraId="58798FC6" w14:textId="77777777" w:rsidTr="009F17D2">
        <w:trPr>
          <w:trHeight w:val="227"/>
          <w:jc w:val="center"/>
        </w:trPr>
        <w:tc>
          <w:tcPr>
            <w:tcW w:w="0" w:type="auto"/>
            <w:tcBorders>
              <w:top w:val="nil"/>
              <w:left w:val="nil"/>
              <w:bottom w:val="nil"/>
              <w:right w:val="nil"/>
            </w:tcBorders>
            <w:shd w:val="clear" w:color="auto" w:fill="auto"/>
            <w:noWrap/>
            <w:vAlign w:val="center"/>
            <w:hideMark/>
          </w:tcPr>
          <w:p w14:paraId="3A76D5AC" w14:textId="77777777" w:rsidR="00A51759" w:rsidRPr="00835574" w:rsidRDefault="00A51759" w:rsidP="009F17D2">
            <w:pPr>
              <w:spacing w:after="0" w:line="360" w:lineRule="auto"/>
              <w:ind w:left="708"/>
              <w:rPr>
                <w:rFonts w:ascii="Arial" w:eastAsia="Times New Roman" w:hAnsi="Arial" w:cs="Arial"/>
                <w:i/>
                <w:iCs/>
                <w:sz w:val="14"/>
                <w:szCs w:val="14"/>
                <w:lang w:eastAsia="es-MX"/>
              </w:rPr>
            </w:pPr>
            <w:r w:rsidRPr="00835574">
              <w:rPr>
                <w:rFonts w:ascii="Arial" w:eastAsia="Times New Roman" w:hAnsi="Arial" w:cs="Arial"/>
                <w:i/>
                <w:iCs/>
                <w:sz w:val="14"/>
                <w:szCs w:val="14"/>
                <w:lang w:eastAsia="es-MX"/>
              </w:rPr>
              <w:t>Reclasificación del FASSA</w:t>
            </w:r>
          </w:p>
        </w:tc>
        <w:tc>
          <w:tcPr>
            <w:tcW w:w="0" w:type="auto"/>
            <w:tcBorders>
              <w:top w:val="nil"/>
              <w:left w:val="nil"/>
              <w:bottom w:val="nil"/>
              <w:right w:val="nil"/>
            </w:tcBorders>
            <w:shd w:val="clear" w:color="auto" w:fill="auto"/>
            <w:noWrap/>
            <w:vAlign w:val="center"/>
            <w:hideMark/>
          </w:tcPr>
          <w:p w14:paraId="7BF0025E" w14:textId="77777777" w:rsidR="00A51759" w:rsidRPr="00835574" w:rsidRDefault="00A51759" w:rsidP="009F17D2">
            <w:pPr>
              <w:spacing w:after="0" w:line="360" w:lineRule="auto"/>
              <w:jc w:val="right"/>
              <w:rPr>
                <w:rFonts w:ascii="Arial" w:eastAsia="Times New Roman" w:hAnsi="Arial" w:cs="Arial"/>
                <w:i/>
                <w:iCs/>
                <w:sz w:val="14"/>
                <w:szCs w:val="14"/>
                <w:lang w:eastAsia="es-MX"/>
              </w:rPr>
            </w:pPr>
          </w:p>
        </w:tc>
        <w:tc>
          <w:tcPr>
            <w:tcW w:w="0" w:type="auto"/>
            <w:tcBorders>
              <w:top w:val="nil"/>
              <w:left w:val="nil"/>
              <w:bottom w:val="nil"/>
              <w:right w:val="nil"/>
            </w:tcBorders>
            <w:shd w:val="clear" w:color="auto" w:fill="auto"/>
            <w:noWrap/>
            <w:vAlign w:val="center"/>
            <w:hideMark/>
          </w:tcPr>
          <w:p w14:paraId="4197DD04" w14:textId="77777777" w:rsidR="00A51759" w:rsidRPr="00835574" w:rsidRDefault="00A51759" w:rsidP="009F17D2">
            <w:pPr>
              <w:spacing w:after="0" w:line="360" w:lineRule="auto"/>
              <w:jc w:val="right"/>
              <w:rPr>
                <w:rFonts w:ascii="Arial" w:eastAsia="Times New Roman" w:hAnsi="Arial" w:cs="Arial"/>
                <w:i/>
                <w:iCs/>
                <w:sz w:val="14"/>
                <w:szCs w:val="14"/>
                <w:lang w:eastAsia="es-MX"/>
              </w:rPr>
            </w:pPr>
            <w:r w:rsidRPr="00835574">
              <w:rPr>
                <w:rFonts w:ascii="Arial" w:eastAsia="Times New Roman" w:hAnsi="Arial" w:cs="Arial"/>
                <w:i/>
                <w:iCs/>
                <w:sz w:val="14"/>
                <w:szCs w:val="14"/>
                <w:lang w:eastAsia="es-MX"/>
              </w:rPr>
              <w:t xml:space="preserve">                  1,919.00 </w:t>
            </w:r>
          </w:p>
        </w:tc>
        <w:tc>
          <w:tcPr>
            <w:tcW w:w="0" w:type="auto"/>
            <w:tcBorders>
              <w:top w:val="nil"/>
              <w:left w:val="nil"/>
              <w:bottom w:val="nil"/>
              <w:right w:val="nil"/>
            </w:tcBorders>
            <w:shd w:val="clear" w:color="auto" w:fill="auto"/>
            <w:noWrap/>
            <w:vAlign w:val="center"/>
            <w:hideMark/>
          </w:tcPr>
          <w:p w14:paraId="7A06A882" w14:textId="77777777" w:rsidR="00A51759" w:rsidRPr="00835574" w:rsidRDefault="00A51759" w:rsidP="009F17D2">
            <w:pPr>
              <w:spacing w:after="0" w:line="360" w:lineRule="auto"/>
              <w:jc w:val="right"/>
              <w:rPr>
                <w:rFonts w:ascii="Arial" w:eastAsia="Times New Roman" w:hAnsi="Arial" w:cs="Arial"/>
                <w:i/>
                <w:iCs/>
                <w:sz w:val="14"/>
                <w:szCs w:val="14"/>
                <w:lang w:eastAsia="es-MX"/>
              </w:rPr>
            </w:pPr>
          </w:p>
        </w:tc>
        <w:tc>
          <w:tcPr>
            <w:tcW w:w="0" w:type="auto"/>
            <w:tcBorders>
              <w:top w:val="nil"/>
              <w:left w:val="nil"/>
              <w:bottom w:val="nil"/>
              <w:right w:val="nil"/>
            </w:tcBorders>
            <w:shd w:val="clear" w:color="auto" w:fill="auto"/>
            <w:noWrap/>
            <w:vAlign w:val="center"/>
            <w:hideMark/>
          </w:tcPr>
          <w:p w14:paraId="6C7B7D0F" w14:textId="77777777" w:rsidR="00A51759" w:rsidRPr="00835574" w:rsidRDefault="00A51759" w:rsidP="009F17D2">
            <w:pPr>
              <w:spacing w:after="0" w:line="360" w:lineRule="auto"/>
              <w:jc w:val="right"/>
              <w:rPr>
                <w:rFonts w:ascii="Arial" w:eastAsia="Times New Roman" w:hAnsi="Arial" w:cs="Arial"/>
                <w:sz w:val="14"/>
                <w:szCs w:val="14"/>
                <w:lang w:eastAsia="es-MX"/>
              </w:rPr>
            </w:pPr>
          </w:p>
        </w:tc>
      </w:tr>
      <w:tr w:rsidR="00835574" w:rsidRPr="00835574" w14:paraId="04FC402F" w14:textId="77777777" w:rsidTr="007C4935">
        <w:trPr>
          <w:trHeight w:val="227"/>
          <w:jc w:val="center"/>
        </w:trPr>
        <w:tc>
          <w:tcPr>
            <w:tcW w:w="0" w:type="auto"/>
            <w:tcBorders>
              <w:top w:val="nil"/>
              <w:left w:val="nil"/>
              <w:bottom w:val="nil"/>
              <w:right w:val="nil"/>
            </w:tcBorders>
            <w:shd w:val="clear" w:color="auto" w:fill="D0CECE" w:themeFill="background2" w:themeFillShade="E6"/>
            <w:noWrap/>
            <w:vAlign w:val="center"/>
            <w:hideMark/>
          </w:tcPr>
          <w:p w14:paraId="4A8D8B5A" w14:textId="77777777" w:rsidR="00A51759" w:rsidRPr="00835574" w:rsidRDefault="00A51759" w:rsidP="009F17D2">
            <w:pPr>
              <w:spacing w:after="0" w:line="360" w:lineRule="auto"/>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Total de la AGSP sin incrementos</w:t>
            </w:r>
          </w:p>
        </w:tc>
        <w:tc>
          <w:tcPr>
            <w:tcW w:w="0" w:type="auto"/>
            <w:tcBorders>
              <w:top w:val="nil"/>
              <w:left w:val="nil"/>
              <w:bottom w:val="nil"/>
              <w:right w:val="nil"/>
            </w:tcBorders>
            <w:shd w:val="clear" w:color="auto" w:fill="D0CECE" w:themeFill="background2" w:themeFillShade="E6"/>
            <w:noWrap/>
            <w:vAlign w:val="center"/>
            <w:hideMark/>
          </w:tcPr>
          <w:p w14:paraId="3327CF2B"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w:t>
            </w:r>
          </w:p>
        </w:tc>
        <w:tc>
          <w:tcPr>
            <w:tcW w:w="0" w:type="auto"/>
            <w:tcBorders>
              <w:top w:val="nil"/>
              <w:left w:val="nil"/>
              <w:bottom w:val="nil"/>
              <w:right w:val="nil"/>
            </w:tcBorders>
            <w:shd w:val="clear" w:color="auto" w:fill="D0CECE" w:themeFill="background2" w:themeFillShade="E6"/>
            <w:noWrap/>
            <w:vAlign w:val="center"/>
            <w:hideMark/>
          </w:tcPr>
          <w:p w14:paraId="19436570"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xml:space="preserve">         47,606.62</w:t>
            </w:r>
          </w:p>
        </w:tc>
        <w:tc>
          <w:tcPr>
            <w:tcW w:w="0" w:type="auto"/>
            <w:tcBorders>
              <w:top w:val="nil"/>
              <w:left w:val="nil"/>
              <w:bottom w:val="nil"/>
              <w:right w:val="nil"/>
            </w:tcBorders>
            <w:shd w:val="clear" w:color="auto" w:fill="D0CECE" w:themeFill="background2" w:themeFillShade="E6"/>
            <w:noWrap/>
            <w:vAlign w:val="center"/>
            <w:hideMark/>
          </w:tcPr>
          <w:p w14:paraId="499731BC"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w:t>
            </w:r>
          </w:p>
        </w:tc>
        <w:tc>
          <w:tcPr>
            <w:tcW w:w="0" w:type="auto"/>
            <w:tcBorders>
              <w:top w:val="nil"/>
              <w:left w:val="nil"/>
              <w:bottom w:val="nil"/>
              <w:right w:val="nil"/>
            </w:tcBorders>
            <w:shd w:val="clear" w:color="auto" w:fill="D0CECE" w:themeFill="background2" w:themeFillShade="E6"/>
            <w:noWrap/>
            <w:vAlign w:val="center"/>
            <w:hideMark/>
          </w:tcPr>
          <w:p w14:paraId="485BCE0A" w14:textId="77777777" w:rsidR="00A51759" w:rsidRPr="00835574" w:rsidRDefault="00A51759" w:rsidP="009F17D2">
            <w:pPr>
              <w:spacing w:after="0" w:line="360" w:lineRule="auto"/>
              <w:jc w:val="right"/>
              <w:rPr>
                <w:rFonts w:ascii="Arial" w:eastAsia="Times New Roman" w:hAnsi="Arial" w:cs="Arial"/>
                <w:b/>
                <w:bCs/>
                <w:sz w:val="14"/>
                <w:szCs w:val="14"/>
                <w:lang w:eastAsia="es-MX"/>
              </w:rPr>
            </w:pPr>
            <w:r w:rsidRPr="00835574">
              <w:rPr>
                <w:rFonts w:ascii="Arial" w:eastAsia="Times New Roman" w:hAnsi="Arial" w:cs="Arial"/>
                <w:b/>
                <w:bCs/>
                <w:sz w:val="14"/>
                <w:szCs w:val="14"/>
                <w:lang w:eastAsia="es-MX"/>
              </w:rPr>
              <w:t> </w:t>
            </w:r>
          </w:p>
        </w:tc>
      </w:tr>
    </w:tbl>
    <w:p w14:paraId="6AA0A030" w14:textId="57DE66BA" w:rsidR="00A51759" w:rsidRPr="00994CDD" w:rsidRDefault="00A51759" w:rsidP="00A51759">
      <w:pPr>
        <w:pStyle w:val="Sinespaciado"/>
        <w:ind w:left="709"/>
        <w:jc w:val="both"/>
        <w:rPr>
          <w:sz w:val="18"/>
          <w:szCs w:val="18"/>
        </w:rPr>
      </w:pPr>
      <w:r w:rsidRPr="00994CDD">
        <w:rPr>
          <w:sz w:val="18"/>
          <w:szCs w:val="18"/>
        </w:rPr>
        <w:t>Fuente: Secretaría de Finanzas.</w:t>
      </w:r>
    </w:p>
    <w:p w14:paraId="4D9980A4" w14:textId="77777777" w:rsidR="00375256" w:rsidRPr="00835574" w:rsidRDefault="00375256" w:rsidP="00421E8E">
      <w:pPr>
        <w:pStyle w:val="Sinespaciado"/>
        <w:jc w:val="both"/>
      </w:pPr>
    </w:p>
    <w:p w14:paraId="51023AAD" w14:textId="6DC19D62" w:rsidR="00082EAB" w:rsidRPr="00835574" w:rsidRDefault="0009743D">
      <w:pPr>
        <w:pStyle w:val="Sinespaciado"/>
        <w:numPr>
          <w:ilvl w:val="0"/>
          <w:numId w:val="23"/>
        </w:numPr>
        <w:jc w:val="both"/>
        <w:rPr>
          <w:b/>
          <w:bCs/>
        </w:rPr>
      </w:pPr>
      <w:r w:rsidRPr="00835574">
        <w:rPr>
          <w:b/>
          <w:bCs/>
        </w:rPr>
        <w:t>FONDO PARA DESASTRES NATURALES</w:t>
      </w:r>
    </w:p>
    <w:p w14:paraId="47694AF5" w14:textId="2D6D6650" w:rsidR="0009743D" w:rsidRPr="00835574" w:rsidRDefault="0009743D" w:rsidP="00421E8E">
      <w:pPr>
        <w:pStyle w:val="Sinespaciado"/>
        <w:jc w:val="both"/>
        <w:rPr>
          <w:b/>
          <w:bCs/>
        </w:rPr>
      </w:pPr>
    </w:p>
    <w:p w14:paraId="58FAD7CA" w14:textId="1DC18EDC" w:rsidR="0009743D" w:rsidRPr="00835574" w:rsidRDefault="0009743D" w:rsidP="00421E8E">
      <w:pPr>
        <w:pStyle w:val="Sinespaciado"/>
        <w:jc w:val="both"/>
      </w:pPr>
      <w:r w:rsidRPr="00835574">
        <w:t xml:space="preserve">En cumplimiento a los artículos 9 y quinto transitorio de la Ley de Disciplina, se prevé una aportación al Fondo para Desastres Naturales de </w:t>
      </w:r>
      <w:r w:rsidRPr="00835574">
        <w:rPr>
          <w:b/>
          <w:bCs/>
        </w:rPr>
        <w:t>$</w:t>
      </w:r>
      <w:r w:rsidR="009838C9" w:rsidRPr="00835574">
        <w:rPr>
          <w:b/>
          <w:bCs/>
        </w:rPr>
        <w:t xml:space="preserve">34,520,798.30 </w:t>
      </w:r>
      <w:r w:rsidRPr="00835574">
        <w:rPr>
          <w:b/>
          <w:bCs/>
        </w:rPr>
        <w:t>(</w:t>
      </w:r>
      <w:r w:rsidR="00F745E3">
        <w:rPr>
          <w:b/>
          <w:bCs/>
        </w:rPr>
        <w:t>T</w:t>
      </w:r>
      <w:r w:rsidRPr="00835574">
        <w:rPr>
          <w:b/>
          <w:bCs/>
        </w:rPr>
        <w:t xml:space="preserve">reinta y </w:t>
      </w:r>
      <w:r w:rsidR="009838C9" w:rsidRPr="00835574">
        <w:rPr>
          <w:b/>
          <w:bCs/>
        </w:rPr>
        <w:t>cuatro</w:t>
      </w:r>
      <w:r w:rsidRPr="00835574">
        <w:rPr>
          <w:b/>
          <w:bCs/>
        </w:rPr>
        <w:t xml:space="preserve"> millones quinientos </w:t>
      </w:r>
      <w:r w:rsidR="009838C9" w:rsidRPr="00835574">
        <w:rPr>
          <w:b/>
          <w:bCs/>
        </w:rPr>
        <w:t>veinte mil setecientos noventa y ocho</w:t>
      </w:r>
      <w:r w:rsidRPr="00835574">
        <w:rPr>
          <w:b/>
          <w:bCs/>
        </w:rPr>
        <w:t xml:space="preserve"> pesos </w:t>
      </w:r>
      <w:r w:rsidR="009838C9" w:rsidRPr="00835574">
        <w:rPr>
          <w:b/>
          <w:bCs/>
        </w:rPr>
        <w:t>30</w:t>
      </w:r>
      <w:r w:rsidRPr="00835574">
        <w:rPr>
          <w:b/>
          <w:bCs/>
        </w:rPr>
        <w:t>/100 M.N.)</w:t>
      </w:r>
      <w:r w:rsidR="009838C9" w:rsidRPr="00835574">
        <w:t>.</w:t>
      </w:r>
    </w:p>
    <w:p w14:paraId="6DCAC6DF" w14:textId="173C3F24" w:rsidR="009838C9" w:rsidRPr="00835574" w:rsidRDefault="009838C9" w:rsidP="00421E8E">
      <w:pPr>
        <w:pStyle w:val="Sinespaciado"/>
        <w:jc w:val="both"/>
      </w:pPr>
    </w:p>
    <w:tbl>
      <w:tblPr>
        <w:tblW w:w="5000" w:type="pct"/>
        <w:tblCellMar>
          <w:left w:w="70" w:type="dxa"/>
          <w:right w:w="70" w:type="dxa"/>
        </w:tblCellMar>
        <w:tblLook w:val="04A0" w:firstRow="1" w:lastRow="0" w:firstColumn="1" w:lastColumn="0" w:noHBand="0" w:noVBand="1"/>
      </w:tblPr>
      <w:tblGrid>
        <w:gridCol w:w="2563"/>
        <w:gridCol w:w="1681"/>
        <w:gridCol w:w="1623"/>
        <w:gridCol w:w="1575"/>
        <w:gridCol w:w="694"/>
        <w:gridCol w:w="692"/>
      </w:tblGrid>
      <w:tr w:rsidR="00835574" w:rsidRPr="00835574" w14:paraId="222CD5E5" w14:textId="77777777" w:rsidTr="009838C9">
        <w:trPr>
          <w:trHeight w:val="276"/>
        </w:trPr>
        <w:tc>
          <w:tcPr>
            <w:tcW w:w="1452" w:type="pct"/>
            <w:tcBorders>
              <w:top w:val="single" w:sz="4" w:space="0" w:color="auto"/>
              <w:left w:val="single" w:sz="4" w:space="0" w:color="auto"/>
              <w:bottom w:val="nil"/>
              <w:right w:val="nil"/>
            </w:tcBorders>
            <w:shd w:val="clear" w:color="000000" w:fill="D0CECE"/>
            <w:noWrap/>
            <w:vAlign w:val="center"/>
            <w:hideMark/>
          </w:tcPr>
          <w:p w14:paraId="3E777D0E"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Año</w:t>
            </w:r>
          </w:p>
        </w:tc>
        <w:tc>
          <w:tcPr>
            <w:tcW w:w="952" w:type="pct"/>
            <w:tcBorders>
              <w:top w:val="single" w:sz="4" w:space="0" w:color="auto"/>
              <w:left w:val="nil"/>
              <w:bottom w:val="nil"/>
              <w:right w:val="nil"/>
            </w:tcBorders>
            <w:shd w:val="clear" w:color="000000" w:fill="D0CECE"/>
            <w:noWrap/>
            <w:vAlign w:val="center"/>
            <w:hideMark/>
          </w:tcPr>
          <w:p w14:paraId="09055389"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2017</w:t>
            </w:r>
          </w:p>
        </w:tc>
        <w:tc>
          <w:tcPr>
            <w:tcW w:w="919" w:type="pct"/>
            <w:tcBorders>
              <w:top w:val="single" w:sz="4" w:space="0" w:color="auto"/>
              <w:left w:val="nil"/>
              <w:bottom w:val="nil"/>
              <w:right w:val="nil"/>
            </w:tcBorders>
            <w:shd w:val="clear" w:color="000000" w:fill="D0CECE"/>
            <w:noWrap/>
            <w:vAlign w:val="center"/>
            <w:hideMark/>
          </w:tcPr>
          <w:p w14:paraId="2C627341"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2018</w:t>
            </w:r>
          </w:p>
        </w:tc>
        <w:tc>
          <w:tcPr>
            <w:tcW w:w="892" w:type="pct"/>
            <w:tcBorders>
              <w:top w:val="single" w:sz="4" w:space="0" w:color="auto"/>
              <w:left w:val="nil"/>
              <w:bottom w:val="nil"/>
              <w:right w:val="nil"/>
            </w:tcBorders>
            <w:shd w:val="clear" w:color="000000" w:fill="D0CECE"/>
            <w:noWrap/>
            <w:vAlign w:val="center"/>
            <w:hideMark/>
          </w:tcPr>
          <w:p w14:paraId="57EC5F33"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2019</w:t>
            </w:r>
          </w:p>
        </w:tc>
        <w:tc>
          <w:tcPr>
            <w:tcW w:w="393" w:type="pct"/>
            <w:tcBorders>
              <w:top w:val="single" w:sz="4" w:space="0" w:color="auto"/>
              <w:left w:val="nil"/>
              <w:bottom w:val="nil"/>
              <w:right w:val="nil"/>
            </w:tcBorders>
            <w:shd w:val="clear" w:color="000000" w:fill="D0CECE"/>
            <w:noWrap/>
            <w:vAlign w:val="center"/>
            <w:hideMark/>
          </w:tcPr>
          <w:p w14:paraId="220D1885"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2020</w:t>
            </w:r>
          </w:p>
        </w:tc>
        <w:tc>
          <w:tcPr>
            <w:tcW w:w="393" w:type="pct"/>
            <w:tcBorders>
              <w:top w:val="single" w:sz="4" w:space="0" w:color="auto"/>
              <w:left w:val="nil"/>
              <w:bottom w:val="nil"/>
              <w:right w:val="single" w:sz="4" w:space="0" w:color="auto"/>
            </w:tcBorders>
            <w:shd w:val="clear" w:color="000000" w:fill="D0CECE"/>
            <w:noWrap/>
            <w:vAlign w:val="center"/>
            <w:hideMark/>
          </w:tcPr>
          <w:p w14:paraId="6B727CDB"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2021</w:t>
            </w:r>
          </w:p>
        </w:tc>
      </w:tr>
      <w:tr w:rsidR="00835574" w:rsidRPr="00835574" w14:paraId="49491EC9" w14:textId="77777777" w:rsidTr="009838C9">
        <w:trPr>
          <w:trHeight w:val="276"/>
        </w:trPr>
        <w:tc>
          <w:tcPr>
            <w:tcW w:w="1452" w:type="pct"/>
            <w:tcBorders>
              <w:top w:val="nil"/>
              <w:left w:val="single" w:sz="4" w:space="0" w:color="auto"/>
              <w:bottom w:val="single" w:sz="4" w:space="0" w:color="auto"/>
              <w:right w:val="nil"/>
            </w:tcBorders>
            <w:shd w:val="clear" w:color="auto" w:fill="auto"/>
            <w:noWrap/>
            <w:vAlign w:val="bottom"/>
            <w:hideMark/>
          </w:tcPr>
          <w:p w14:paraId="2D16813E" w14:textId="77777777"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Aportación Estatal   1_/</w:t>
            </w:r>
          </w:p>
        </w:tc>
        <w:tc>
          <w:tcPr>
            <w:tcW w:w="952" w:type="pct"/>
            <w:tcBorders>
              <w:top w:val="nil"/>
              <w:left w:val="nil"/>
              <w:bottom w:val="single" w:sz="4" w:space="0" w:color="auto"/>
              <w:right w:val="nil"/>
            </w:tcBorders>
            <w:shd w:val="clear" w:color="auto" w:fill="auto"/>
            <w:noWrap/>
            <w:vAlign w:val="center"/>
            <w:hideMark/>
          </w:tcPr>
          <w:p w14:paraId="5368F333" w14:textId="09D62CC6"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9,397,063.49</w:t>
            </w:r>
          </w:p>
        </w:tc>
        <w:tc>
          <w:tcPr>
            <w:tcW w:w="919" w:type="pct"/>
            <w:tcBorders>
              <w:top w:val="nil"/>
              <w:left w:val="nil"/>
              <w:bottom w:val="single" w:sz="4" w:space="0" w:color="auto"/>
              <w:right w:val="nil"/>
            </w:tcBorders>
            <w:shd w:val="clear" w:color="auto" w:fill="auto"/>
            <w:noWrap/>
            <w:vAlign w:val="center"/>
            <w:hideMark/>
          </w:tcPr>
          <w:p w14:paraId="7C46D6E5" w14:textId="6D7C2AC1"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1,211,557,933.13</w:t>
            </w:r>
          </w:p>
        </w:tc>
        <w:tc>
          <w:tcPr>
            <w:tcW w:w="892" w:type="pct"/>
            <w:tcBorders>
              <w:top w:val="nil"/>
              <w:left w:val="nil"/>
              <w:bottom w:val="single" w:sz="4" w:space="0" w:color="auto"/>
              <w:right w:val="nil"/>
            </w:tcBorders>
            <w:shd w:val="clear" w:color="auto" w:fill="auto"/>
            <w:noWrap/>
            <w:vAlign w:val="center"/>
            <w:hideMark/>
          </w:tcPr>
          <w:p w14:paraId="44AF1A8F" w14:textId="2905F4BF"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153,849,449.60</w:t>
            </w:r>
          </w:p>
        </w:tc>
        <w:tc>
          <w:tcPr>
            <w:tcW w:w="393" w:type="pct"/>
            <w:tcBorders>
              <w:top w:val="nil"/>
              <w:left w:val="nil"/>
              <w:bottom w:val="single" w:sz="4" w:space="0" w:color="auto"/>
              <w:right w:val="nil"/>
            </w:tcBorders>
            <w:shd w:val="clear" w:color="auto" w:fill="auto"/>
            <w:noWrap/>
            <w:vAlign w:val="center"/>
            <w:hideMark/>
          </w:tcPr>
          <w:p w14:paraId="0C9AB419" w14:textId="42DCA611"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w:t>
            </w:r>
          </w:p>
        </w:tc>
        <w:tc>
          <w:tcPr>
            <w:tcW w:w="393" w:type="pct"/>
            <w:tcBorders>
              <w:top w:val="nil"/>
              <w:left w:val="nil"/>
              <w:bottom w:val="single" w:sz="4" w:space="0" w:color="auto"/>
              <w:right w:val="single" w:sz="4" w:space="0" w:color="auto"/>
            </w:tcBorders>
            <w:shd w:val="clear" w:color="auto" w:fill="auto"/>
            <w:noWrap/>
            <w:vAlign w:val="center"/>
            <w:hideMark/>
          </w:tcPr>
          <w:p w14:paraId="25FBD5E3" w14:textId="7B16D248"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w:t>
            </w:r>
          </w:p>
        </w:tc>
      </w:tr>
      <w:tr w:rsidR="009838C9" w:rsidRPr="00835574" w14:paraId="11AC413D" w14:textId="77777777" w:rsidTr="009838C9">
        <w:trPr>
          <w:trHeight w:val="288"/>
        </w:trPr>
        <w:tc>
          <w:tcPr>
            <w:tcW w:w="4215" w:type="pct"/>
            <w:gridSpan w:val="4"/>
            <w:tcBorders>
              <w:top w:val="nil"/>
              <w:left w:val="nil"/>
              <w:bottom w:val="nil"/>
              <w:right w:val="nil"/>
            </w:tcBorders>
            <w:shd w:val="clear" w:color="auto" w:fill="auto"/>
            <w:noWrap/>
            <w:vAlign w:val="bottom"/>
            <w:hideMark/>
          </w:tcPr>
          <w:p w14:paraId="152EDD23" w14:textId="77777777" w:rsidR="009838C9" w:rsidRPr="00994CDD" w:rsidRDefault="009838C9" w:rsidP="00421E8E">
            <w:pPr>
              <w:pStyle w:val="Sinespaciado"/>
              <w:jc w:val="both"/>
              <w:rPr>
                <w:rFonts w:eastAsia="Times New Roman"/>
                <w:sz w:val="18"/>
                <w:szCs w:val="18"/>
                <w:lang w:eastAsia="es-MX"/>
              </w:rPr>
            </w:pPr>
            <w:r w:rsidRPr="00994CDD">
              <w:rPr>
                <w:rFonts w:eastAsia="Times New Roman"/>
                <w:sz w:val="18"/>
                <w:szCs w:val="18"/>
                <w:lang w:eastAsia="es-MX"/>
              </w:rPr>
              <w:t>1_/ Presupuesto estatal destinado a proyectos de reconstrucción de desastres naturales.</w:t>
            </w:r>
          </w:p>
        </w:tc>
        <w:tc>
          <w:tcPr>
            <w:tcW w:w="393" w:type="pct"/>
            <w:tcBorders>
              <w:top w:val="nil"/>
              <w:left w:val="nil"/>
              <w:bottom w:val="nil"/>
              <w:right w:val="nil"/>
            </w:tcBorders>
            <w:shd w:val="clear" w:color="auto" w:fill="auto"/>
            <w:noWrap/>
            <w:vAlign w:val="center"/>
            <w:hideMark/>
          </w:tcPr>
          <w:p w14:paraId="41E65292" w14:textId="77777777" w:rsidR="009838C9" w:rsidRPr="00835574" w:rsidRDefault="009838C9" w:rsidP="00421E8E">
            <w:pPr>
              <w:pStyle w:val="Sinespaciado"/>
              <w:jc w:val="both"/>
              <w:rPr>
                <w:rFonts w:eastAsia="Times New Roman"/>
                <w:i/>
                <w:iCs/>
                <w:sz w:val="18"/>
                <w:szCs w:val="18"/>
                <w:lang w:eastAsia="es-MX"/>
              </w:rPr>
            </w:pPr>
          </w:p>
        </w:tc>
        <w:tc>
          <w:tcPr>
            <w:tcW w:w="393" w:type="pct"/>
            <w:tcBorders>
              <w:top w:val="nil"/>
              <w:left w:val="nil"/>
              <w:bottom w:val="nil"/>
              <w:right w:val="nil"/>
            </w:tcBorders>
            <w:shd w:val="clear" w:color="auto" w:fill="auto"/>
            <w:noWrap/>
            <w:vAlign w:val="center"/>
            <w:hideMark/>
          </w:tcPr>
          <w:p w14:paraId="3BFA7020" w14:textId="77777777" w:rsidR="009838C9" w:rsidRPr="00835574" w:rsidRDefault="009838C9" w:rsidP="00421E8E">
            <w:pPr>
              <w:pStyle w:val="Sinespaciado"/>
              <w:jc w:val="both"/>
              <w:rPr>
                <w:rFonts w:eastAsia="Times New Roman"/>
                <w:sz w:val="18"/>
                <w:szCs w:val="18"/>
                <w:lang w:eastAsia="es-MX"/>
              </w:rPr>
            </w:pPr>
          </w:p>
        </w:tc>
      </w:tr>
    </w:tbl>
    <w:p w14:paraId="7D4F11BB" w14:textId="6387BE3F" w:rsidR="009838C9" w:rsidRPr="00835574" w:rsidRDefault="009838C9" w:rsidP="00421E8E">
      <w:pPr>
        <w:pStyle w:val="Sinespaciado"/>
        <w:jc w:val="both"/>
      </w:pPr>
    </w:p>
    <w:tbl>
      <w:tblPr>
        <w:tblW w:w="5000" w:type="pct"/>
        <w:tblCellMar>
          <w:left w:w="70" w:type="dxa"/>
          <w:right w:w="70" w:type="dxa"/>
        </w:tblCellMar>
        <w:tblLook w:val="04A0" w:firstRow="1" w:lastRow="0" w:firstColumn="1" w:lastColumn="0" w:noHBand="0" w:noVBand="1"/>
      </w:tblPr>
      <w:tblGrid>
        <w:gridCol w:w="2600"/>
        <w:gridCol w:w="1704"/>
        <w:gridCol w:w="1640"/>
        <w:gridCol w:w="1534"/>
        <w:gridCol w:w="676"/>
        <w:gridCol w:w="674"/>
      </w:tblGrid>
      <w:tr w:rsidR="00835574" w:rsidRPr="00835574" w14:paraId="2C7C462B" w14:textId="77777777" w:rsidTr="009838C9">
        <w:trPr>
          <w:trHeight w:val="276"/>
        </w:trPr>
        <w:tc>
          <w:tcPr>
            <w:tcW w:w="1472" w:type="pct"/>
            <w:tcBorders>
              <w:top w:val="single" w:sz="4" w:space="0" w:color="auto"/>
              <w:left w:val="single" w:sz="4" w:space="0" w:color="auto"/>
              <w:bottom w:val="nil"/>
              <w:right w:val="nil"/>
            </w:tcBorders>
            <w:shd w:val="clear" w:color="000000" w:fill="D0CECE"/>
            <w:noWrap/>
            <w:vAlign w:val="center"/>
            <w:hideMark/>
          </w:tcPr>
          <w:p w14:paraId="403A13DB" w14:textId="3EBDCF5C" w:rsidR="009838C9" w:rsidRPr="00835574" w:rsidRDefault="009838C9" w:rsidP="00994CDD">
            <w:pPr>
              <w:pStyle w:val="Sinespaciado"/>
              <w:jc w:val="center"/>
              <w:rPr>
                <w:rFonts w:eastAsia="Times New Roman"/>
                <w:sz w:val="18"/>
                <w:szCs w:val="18"/>
                <w:lang w:eastAsia="es-MX"/>
              </w:rPr>
            </w:pPr>
          </w:p>
        </w:tc>
        <w:tc>
          <w:tcPr>
            <w:tcW w:w="965" w:type="pct"/>
            <w:tcBorders>
              <w:top w:val="single" w:sz="4" w:space="0" w:color="auto"/>
              <w:left w:val="nil"/>
              <w:bottom w:val="nil"/>
              <w:right w:val="nil"/>
            </w:tcBorders>
            <w:shd w:val="clear" w:color="000000" w:fill="D0CECE"/>
            <w:noWrap/>
            <w:vAlign w:val="center"/>
            <w:hideMark/>
          </w:tcPr>
          <w:p w14:paraId="0F188AD6"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2017</w:t>
            </w:r>
          </w:p>
        </w:tc>
        <w:tc>
          <w:tcPr>
            <w:tcW w:w="929" w:type="pct"/>
            <w:tcBorders>
              <w:top w:val="single" w:sz="4" w:space="0" w:color="auto"/>
              <w:left w:val="nil"/>
              <w:bottom w:val="nil"/>
              <w:right w:val="nil"/>
            </w:tcBorders>
            <w:shd w:val="clear" w:color="000000" w:fill="D0CECE"/>
            <w:noWrap/>
            <w:vAlign w:val="center"/>
            <w:hideMark/>
          </w:tcPr>
          <w:p w14:paraId="3B92E8CB"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2018</w:t>
            </w:r>
          </w:p>
        </w:tc>
        <w:tc>
          <w:tcPr>
            <w:tcW w:w="869" w:type="pct"/>
            <w:tcBorders>
              <w:top w:val="single" w:sz="4" w:space="0" w:color="auto"/>
              <w:left w:val="nil"/>
              <w:bottom w:val="nil"/>
              <w:right w:val="nil"/>
            </w:tcBorders>
            <w:shd w:val="clear" w:color="000000" w:fill="D0CECE"/>
            <w:noWrap/>
            <w:vAlign w:val="center"/>
            <w:hideMark/>
          </w:tcPr>
          <w:p w14:paraId="0DF97E4E"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2019</w:t>
            </w:r>
          </w:p>
        </w:tc>
        <w:tc>
          <w:tcPr>
            <w:tcW w:w="383" w:type="pct"/>
            <w:tcBorders>
              <w:top w:val="single" w:sz="4" w:space="0" w:color="auto"/>
              <w:left w:val="nil"/>
              <w:bottom w:val="nil"/>
              <w:right w:val="nil"/>
            </w:tcBorders>
            <w:shd w:val="clear" w:color="000000" w:fill="D0CECE"/>
            <w:noWrap/>
            <w:vAlign w:val="center"/>
            <w:hideMark/>
          </w:tcPr>
          <w:p w14:paraId="376F1F8C"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2020</w:t>
            </w:r>
          </w:p>
        </w:tc>
        <w:tc>
          <w:tcPr>
            <w:tcW w:w="383" w:type="pct"/>
            <w:tcBorders>
              <w:top w:val="single" w:sz="4" w:space="0" w:color="auto"/>
              <w:left w:val="nil"/>
              <w:bottom w:val="nil"/>
              <w:right w:val="single" w:sz="4" w:space="0" w:color="auto"/>
            </w:tcBorders>
            <w:shd w:val="clear" w:color="000000" w:fill="D0CECE"/>
            <w:noWrap/>
            <w:vAlign w:val="center"/>
            <w:hideMark/>
          </w:tcPr>
          <w:p w14:paraId="3D1A13F4"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2021</w:t>
            </w:r>
          </w:p>
        </w:tc>
      </w:tr>
      <w:tr w:rsidR="00835574" w:rsidRPr="00835574" w14:paraId="0788E91D" w14:textId="77777777" w:rsidTr="009838C9">
        <w:trPr>
          <w:trHeight w:val="552"/>
        </w:trPr>
        <w:tc>
          <w:tcPr>
            <w:tcW w:w="1472" w:type="pct"/>
            <w:tcBorders>
              <w:top w:val="nil"/>
              <w:left w:val="single" w:sz="4" w:space="0" w:color="auto"/>
              <w:bottom w:val="single" w:sz="4" w:space="0" w:color="auto"/>
              <w:right w:val="nil"/>
            </w:tcBorders>
            <w:shd w:val="clear" w:color="auto" w:fill="auto"/>
            <w:vAlign w:val="center"/>
            <w:hideMark/>
          </w:tcPr>
          <w:p w14:paraId="369CA0E2" w14:textId="12C8C781"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Índice Nacional de Precios al</w:t>
            </w:r>
            <w:r w:rsidRPr="00835574">
              <w:rPr>
                <w:rFonts w:eastAsia="Times New Roman"/>
                <w:sz w:val="18"/>
                <w:szCs w:val="18"/>
                <w:lang w:eastAsia="es-MX"/>
              </w:rPr>
              <w:br/>
              <w:t>Consumidor (mes de corte enero)</w:t>
            </w:r>
          </w:p>
        </w:tc>
        <w:tc>
          <w:tcPr>
            <w:tcW w:w="965" w:type="pct"/>
            <w:tcBorders>
              <w:top w:val="nil"/>
              <w:left w:val="nil"/>
              <w:bottom w:val="single" w:sz="4" w:space="0" w:color="auto"/>
              <w:right w:val="nil"/>
            </w:tcBorders>
            <w:shd w:val="clear" w:color="auto" w:fill="auto"/>
            <w:noWrap/>
            <w:vAlign w:val="center"/>
            <w:hideMark/>
          </w:tcPr>
          <w:p w14:paraId="31D4DFF6" w14:textId="77777777"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1.3308</w:t>
            </w:r>
          </w:p>
        </w:tc>
        <w:tc>
          <w:tcPr>
            <w:tcW w:w="929" w:type="pct"/>
            <w:tcBorders>
              <w:top w:val="nil"/>
              <w:left w:val="nil"/>
              <w:bottom w:val="single" w:sz="4" w:space="0" w:color="auto"/>
              <w:right w:val="nil"/>
            </w:tcBorders>
            <w:shd w:val="clear" w:color="auto" w:fill="auto"/>
            <w:noWrap/>
            <w:vAlign w:val="center"/>
            <w:hideMark/>
          </w:tcPr>
          <w:p w14:paraId="4EA09C62" w14:textId="77777777"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1.2609</w:t>
            </w:r>
          </w:p>
        </w:tc>
        <w:tc>
          <w:tcPr>
            <w:tcW w:w="869" w:type="pct"/>
            <w:tcBorders>
              <w:top w:val="nil"/>
              <w:left w:val="nil"/>
              <w:bottom w:val="single" w:sz="4" w:space="0" w:color="auto"/>
              <w:right w:val="nil"/>
            </w:tcBorders>
            <w:shd w:val="clear" w:color="auto" w:fill="auto"/>
            <w:noWrap/>
            <w:vAlign w:val="center"/>
            <w:hideMark/>
          </w:tcPr>
          <w:p w14:paraId="029C4867" w14:textId="77777777"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1.2082</w:t>
            </w:r>
          </w:p>
        </w:tc>
        <w:tc>
          <w:tcPr>
            <w:tcW w:w="383" w:type="pct"/>
            <w:tcBorders>
              <w:top w:val="nil"/>
              <w:left w:val="nil"/>
              <w:bottom w:val="single" w:sz="4" w:space="0" w:color="auto"/>
              <w:right w:val="nil"/>
            </w:tcBorders>
            <w:shd w:val="clear" w:color="auto" w:fill="auto"/>
            <w:noWrap/>
            <w:vAlign w:val="center"/>
            <w:hideMark/>
          </w:tcPr>
          <w:p w14:paraId="40924101" w14:textId="77777777"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1.1703</w:t>
            </w:r>
          </w:p>
        </w:tc>
        <w:tc>
          <w:tcPr>
            <w:tcW w:w="383" w:type="pct"/>
            <w:tcBorders>
              <w:top w:val="nil"/>
              <w:left w:val="nil"/>
              <w:bottom w:val="single" w:sz="4" w:space="0" w:color="auto"/>
              <w:right w:val="single" w:sz="4" w:space="0" w:color="auto"/>
            </w:tcBorders>
            <w:shd w:val="clear" w:color="auto" w:fill="auto"/>
            <w:noWrap/>
            <w:vAlign w:val="center"/>
            <w:hideMark/>
          </w:tcPr>
          <w:p w14:paraId="45D495F0" w14:textId="77777777"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1.1303</w:t>
            </w:r>
          </w:p>
        </w:tc>
      </w:tr>
      <w:tr w:rsidR="009838C9" w:rsidRPr="00835574" w14:paraId="091A0F9F" w14:textId="77777777" w:rsidTr="009838C9">
        <w:trPr>
          <w:trHeight w:val="276"/>
        </w:trPr>
        <w:tc>
          <w:tcPr>
            <w:tcW w:w="3366" w:type="pct"/>
            <w:gridSpan w:val="3"/>
            <w:tcBorders>
              <w:top w:val="nil"/>
              <w:left w:val="nil"/>
              <w:bottom w:val="nil"/>
              <w:right w:val="nil"/>
            </w:tcBorders>
            <w:shd w:val="clear" w:color="auto" w:fill="auto"/>
            <w:noWrap/>
            <w:vAlign w:val="center"/>
            <w:hideMark/>
          </w:tcPr>
          <w:p w14:paraId="2A63B79B" w14:textId="77777777" w:rsidR="009838C9" w:rsidRPr="00994CDD" w:rsidRDefault="009838C9" w:rsidP="00421E8E">
            <w:pPr>
              <w:pStyle w:val="Sinespaciado"/>
              <w:jc w:val="both"/>
              <w:rPr>
                <w:rFonts w:eastAsia="Times New Roman"/>
                <w:sz w:val="18"/>
                <w:szCs w:val="18"/>
                <w:lang w:eastAsia="es-MX"/>
              </w:rPr>
            </w:pPr>
            <w:r w:rsidRPr="00994CDD">
              <w:rPr>
                <w:rFonts w:eastAsia="Times New Roman"/>
                <w:sz w:val="18"/>
                <w:szCs w:val="18"/>
                <w:lang w:eastAsia="es-MX"/>
              </w:rPr>
              <w:t>https://www.inegi.org.mx/app/indicesdeprecios/calculadorainflacion.aspx</w:t>
            </w:r>
          </w:p>
        </w:tc>
        <w:tc>
          <w:tcPr>
            <w:tcW w:w="869" w:type="pct"/>
            <w:tcBorders>
              <w:top w:val="nil"/>
              <w:left w:val="nil"/>
              <w:bottom w:val="nil"/>
              <w:right w:val="nil"/>
            </w:tcBorders>
            <w:shd w:val="clear" w:color="auto" w:fill="auto"/>
            <w:noWrap/>
            <w:vAlign w:val="center"/>
            <w:hideMark/>
          </w:tcPr>
          <w:p w14:paraId="4E878661" w14:textId="77777777" w:rsidR="009838C9" w:rsidRPr="00835574" w:rsidRDefault="009838C9" w:rsidP="00421E8E">
            <w:pPr>
              <w:pStyle w:val="Sinespaciado"/>
              <w:jc w:val="both"/>
              <w:rPr>
                <w:rFonts w:eastAsia="Times New Roman"/>
                <w:i/>
                <w:iCs/>
                <w:sz w:val="18"/>
                <w:szCs w:val="18"/>
                <w:lang w:eastAsia="es-MX"/>
              </w:rPr>
            </w:pPr>
          </w:p>
        </w:tc>
        <w:tc>
          <w:tcPr>
            <w:tcW w:w="383" w:type="pct"/>
            <w:tcBorders>
              <w:top w:val="nil"/>
              <w:left w:val="nil"/>
              <w:bottom w:val="nil"/>
              <w:right w:val="nil"/>
            </w:tcBorders>
            <w:shd w:val="clear" w:color="auto" w:fill="auto"/>
            <w:noWrap/>
            <w:vAlign w:val="center"/>
            <w:hideMark/>
          </w:tcPr>
          <w:p w14:paraId="403B259C" w14:textId="77777777" w:rsidR="009838C9" w:rsidRPr="00835574" w:rsidRDefault="009838C9" w:rsidP="00421E8E">
            <w:pPr>
              <w:pStyle w:val="Sinespaciado"/>
              <w:jc w:val="both"/>
              <w:rPr>
                <w:rFonts w:eastAsia="Times New Roman"/>
                <w:sz w:val="18"/>
                <w:szCs w:val="18"/>
                <w:lang w:eastAsia="es-MX"/>
              </w:rPr>
            </w:pPr>
          </w:p>
        </w:tc>
        <w:tc>
          <w:tcPr>
            <w:tcW w:w="383" w:type="pct"/>
            <w:tcBorders>
              <w:top w:val="nil"/>
              <w:left w:val="nil"/>
              <w:bottom w:val="nil"/>
              <w:right w:val="nil"/>
            </w:tcBorders>
            <w:shd w:val="clear" w:color="auto" w:fill="auto"/>
            <w:noWrap/>
            <w:vAlign w:val="center"/>
            <w:hideMark/>
          </w:tcPr>
          <w:p w14:paraId="381E9A81" w14:textId="77777777" w:rsidR="009838C9" w:rsidRPr="00835574" w:rsidRDefault="009838C9" w:rsidP="00421E8E">
            <w:pPr>
              <w:pStyle w:val="Sinespaciado"/>
              <w:jc w:val="both"/>
              <w:rPr>
                <w:rFonts w:eastAsia="Times New Roman"/>
                <w:sz w:val="18"/>
                <w:szCs w:val="18"/>
                <w:lang w:eastAsia="es-MX"/>
              </w:rPr>
            </w:pPr>
          </w:p>
        </w:tc>
      </w:tr>
    </w:tbl>
    <w:p w14:paraId="699A7151" w14:textId="03FDE92B" w:rsidR="009838C9" w:rsidRPr="00835574" w:rsidRDefault="009838C9" w:rsidP="00421E8E">
      <w:pPr>
        <w:pStyle w:val="Sinespaciado"/>
        <w:jc w:val="both"/>
      </w:pPr>
    </w:p>
    <w:p w14:paraId="3EE6C082" w14:textId="77777777" w:rsidR="00AC1E3E" w:rsidRPr="00835574" w:rsidRDefault="00AC1E3E" w:rsidP="00421E8E">
      <w:pPr>
        <w:pStyle w:val="Sinespaciado"/>
        <w:jc w:val="both"/>
      </w:pPr>
    </w:p>
    <w:tbl>
      <w:tblPr>
        <w:tblW w:w="5000" w:type="pct"/>
        <w:tblCellMar>
          <w:left w:w="70" w:type="dxa"/>
          <w:right w:w="70" w:type="dxa"/>
        </w:tblCellMar>
        <w:tblLook w:val="04A0" w:firstRow="1" w:lastRow="0" w:firstColumn="1" w:lastColumn="0" w:noHBand="0" w:noVBand="1"/>
      </w:tblPr>
      <w:tblGrid>
        <w:gridCol w:w="2578"/>
        <w:gridCol w:w="1677"/>
        <w:gridCol w:w="1616"/>
        <w:gridCol w:w="1573"/>
        <w:gridCol w:w="692"/>
        <w:gridCol w:w="692"/>
      </w:tblGrid>
      <w:tr w:rsidR="00835574" w:rsidRPr="00835574" w14:paraId="2011F4F6" w14:textId="77777777" w:rsidTr="009838C9">
        <w:trPr>
          <w:trHeight w:val="276"/>
        </w:trPr>
        <w:tc>
          <w:tcPr>
            <w:tcW w:w="1460" w:type="pct"/>
            <w:tcBorders>
              <w:top w:val="single" w:sz="4" w:space="0" w:color="auto"/>
              <w:left w:val="single" w:sz="4" w:space="0" w:color="auto"/>
              <w:bottom w:val="nil"/>
              <w:right w:val="nil"/>
            </w:tcBorders>
            <w:shd w:val="clear" w:color="000000" w:fill="D0CECE"/>
            <w:noWrap/>
            <w:vAlign w:val="center"/>
            <w:hideMark/>
          </w:tcPr>
          <w:p w14:paraId="61B15774" w14:textId="3B9A537D" w:rsidR="009838C9" w:rsidRPr="00835574" w:rsidRDefault="009838C9" w:rsidP="00994CDD">
            <w:pPr>
              <w:pStyle w:val="Sinespaciado"/>
              <w:jc w:val="center"/>
              <w:rPr>
                <w:rFonts w:eastAsia="Times New Roman"/>
                <w:sz w:val="18"/>
                <w:szCs w:val="18"/>
                <w:lang w:eastAsia="es-MX"/>
              </w:rPr>
            </w:pPr>
          </w:p>
        </w:tc>
        <w:tc>
          <w:tcPr>
            <w:tcW w:w="950" w:type="pct"/>
            <w:tcBorders>
              <w:top w:val="single" w:sz="4" w:space="0" w:color="auto"/>
              <w:left w:val="nil"/>
              <w:bottom w:val="nil"/>
              <w:right w:val="nil"/>
            </w:tcBorders>
            <w:shd w:val="clear" w:color="000000" w:fill="D0CECE"/>
            <w:noWrap/>
            <w:vAlign w:val="center"/>
            <w:hideMark/>
          </w:tcPr>
          <w:p w14:paraId="6B74F972"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2017</w:t>
            </w:r>
          </w:p>
        </w:tc>
        <w:tc>
          <w:tcPr>
            <w:tcW w:w="915" w:type="pct"/>
            <w:tcBorders>
              <w:top w:val="single" w:sz="4" w:space="0" w:color="auto"/>
              <w:left w:val="nil"/>
              <w:bottom w:val="nil"/>
              <w:right w:val="nil"/>
            </w:tcBorders>
            <w:shd w:val="clear" w:color="000000" w:fill="D0CECE"/>
            <w:noWrap/>
            <w:vAlign w:val="center"/>
            <w:hideMark/>
          </w:tcPr>
          <w:p w14:paraId="0192715F"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2018</w:t>
            </w:r>
          </w:p>
        </w:tc>
        <w:tc>
          <w:tcPr>
            <w:tcW w:w="891" w:type="pct"/>
            <w:tcBorders>
              <w:top w:val="single" w:sz="4" w:space="0" w:color="auto"/>
              <w:left w:val="nil"/>
              <w:bottom w:val="nil"/>
              <w:right w:val="nil"/>
            </w:tcBorders>
            <w:shd w:val="clear" w:color="000000" w:fill="D0CECE"/>
            <w:noWrap/>
            <w:vAlign w:val="center"/>
            <w:hideMark/>
          </w:tcPr>
          <w:p w14:paraId="6A13ECCD"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2019</w:t>
            </w:r>
          </w:p>
        </w:tc>
        <w:tc>
          <w:tcPr>
            <w:tcW w:w="392" w:type="pct"/>
            <w:tcBorders>
              <w:top w:val="single" w:sz="4" w:space="0" w:color="auto"/>
              <w:left w:val="nil"/>
              <w:bottom w:val="nil"/>
              <w:right w:val="nil"/>
            </w:tcBorders>
            <w:shd w:val="clear" w:color="000000" w:fill="D0CECE"/>
            <w:noWrap/>
            <w:vAlign w:val="center"/>
            <w:hideMark/>
          </w:tcPr>
          <w:p w14:paraId="19706385"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2020</w:t>
            </w:r>
          </w:p>
        </w:tc>
        <w:tc>
          <w:tcPr>
            <w:tcW w:w="392" w:type="pct"/>
            <w:tcBorders>
              <w:top w:val="single" w:sz="4" w:space="0" w:color="auto"/>
              <w:left w:val="nil"/>
              <w:bottom w:val="nil"/>
              <w:right w:val="single" w:sz="4" w:space="0" w:color="auto"/>
            </w:tcBorders>
            <w:shd w:val="clear" w:color="000000" w:fill="D0CECE"/>
            <w:noWrap/>
            <w:vAlign w:val="center"/>
            <w:hideMark/>
          </w:tcPr>
          <w:p w14:paraId="07A6AB9A" w14:textId="77777777" w:rsidR="009838C9" w:rsidRPr="00835574" w:rsidRDefault="009838C9" w:rsidP="00994CDD">
            <w:pPr>
              <w:pStyle w:val="Sinespaciado"/>
              <w:jc w:val="center"/>
              <w:rPr>
                <w:rFonts w:eastAsia="Times New Roman"/>
                <w:b/>
                <w:bCs/>
                <w:sz w:val="18"/>
                <w:szCs w:val="18"/>
                <w:lang w:eastAsia="es-MX"/>
              </w:rPr>
            </w:pPr>
            <w:r w:rsidRPr="00835574">
              <w:rPr>
                <w:rFonts w:eastAsia="Times New Roman"/>
                <w:b/>
                <w:bCs/>
                <w:sz w:val="18"/>
                <w:szCs w:val="18"/>
                <w:lang w:eastAsia="es-MX"/>
              </w:rPr>
              <w:t>2021</w:t>
            </w:r>
          </w:p>
        </w:tc>
      </w:tr>
      <w:tr w:rsidR="009838C9" w:rsidRPr="00835574" w14:paraId="48921E7F" w14:textId="77777777" w:rsidTr="009838C9">
        <w:trPr>
          <w:trHeight w:val="276"/>
        </w:trPr>
        <w:tc>
          <w:tcPr>
            <w:tcW w:w="1460" w:type="pct"/>
            <w:tcBorders>
              <w:top w:val="nil"/>
              <w:left w:val="single" w:sz="4" w:space="0" w:color="auto"/>
              <w:bottom w:val="single" w:sz="4" w:space="0" w:color="auto"/>
              <w:right w:val="nil"/>
            </w:tcBorders>
            <w:shd w:val="clear" w:color="auto" w:fill="auto"/>
            <w:noWrap/>
            <w:vAlign w:val="bottom"/>
            <w:hideMark/>
          </w:tcPr>
          <w:p w14:paraId="6BEF35D1" w14:textId="77777777"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Aportación Estatal actualizada</w:t>
            </w:r>
          </w:p>
        </w:tc>
        <w:tc>
          <w:tcPr>
            <w:tcW w:w="950" w:type="pct"/>
            <w:tcBorders>
              <w:top w:val="nil"/>
              <w:left w:val="nil"/>
              <w:bottom w:val="single" w:sz="4" w:space="0" w:color="auto"/>
              <w:right w:val="nil"/>
            </w:tcBorders>
            <w:shd w:val="clear" w:color="auto" w:fill="auto"/>
            <w:noWrap/>
            <w:vAlign w:val="bottom"/>
            <w:hideMark/>
          </w:tcPr>
          <w:p w14:paraId="52F07275" w14:textId="4EFD0AF7"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12,505,612.09</w:t>
            </w:r>
          </w:p>
        </w:tc>
        <w:tc>
          <w:tcPr>
            <w:tcW w:w="915" w:type="pct"/>
            <w:tcBorders>
              <w:top w:val="nil"/>
              <w:left w:val="nil"/>
              <w:bottom w:val="single" w:sz="4" w:space="0" w:color="auto"/>
              <w:right w:val="nil"/>
            </w:tcBorders>
            <w:shd w:val="clear" w:color="auto" w:fill="auto"/>
            <w:noWrap/>
            <w:vAlign w:val="bottom"/>
            <w:hideMark/>
          </w:tcPr>
          <w:p w14:paraId="6D63E31E" w14:textId="2C7C0877"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1,527,653,397.88</w:t>
            </w:r>
          </w:p>
        </w:tc>
        <w:tc>
          <w:tcPr>
            <w:tcW w:w="891" w:type="pct"/>
            <w:tcBorders>
              <w:top w:val="nil"/>
              <w:left w:val="nil"/>
              <w:bottom w:val="single" w:sz="4" w:space="0" w:color="auto"/>
              <w:right w:val="nil"/>
            </w:tcBorders>
            <w:shd w:val="clear" w:color="auto" w:fill="auto"/>
            <w:noWrap/>
            <w:vAlign w:val="bottom"/>
            <w:hideMark/>
          </w:tcPr>
          <w:p w14:paraId="2C0CF654" w14:textId="77F85C0C"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185,880,905.01</w:t>
            </w:r>
          </w:p>
        </w:tc>
        <w:tc>
          <w:tcPr>
            <w:tcW w:w="392" w:type="pct"/>
            <w:tcBorders>
              <w:top w:val="nil"/>
              <w:left w:val="nil"/>
              <w:bottom w:val="single" w:sz="4" w:space="0" w:color="auto"/>
              <w:right w:val="nil"/>
            </w:tcBorders>
            <w:shd w:val="clear" w:color="auto" w:fill="auto"/>
            <w:noWrap/>
            <w:vAlign w:val="bottom"/>
            <w:hideMark/>
          </w:tcPr>
          <w:p w14:paraId="0852B4E2" w14:textId="536361E2"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w:t>
            </w:r>
          </w:p>
        </w:tc>
        <w:tc>
          <w:tcPr>
            <w:tcW w:w="392" w:type="pct"/>
            <w:tcBorders>
              <w:top w:val="nil"/>
              <w:left w:val="nil"/>
              <w:bottom w:val="single" w:sz="4" w:space="0" w:color="auto"/>
              <w:right w:val="single" w:sz="4" w:space="0" w:color="auto"/>
            </w:tcBorders>
            <w:shd w:val="clear" w:color="auto" w:fill="auto"/>
            <w:noWrap/>
            <w:vAlign w:val="bottom"/>
            <w:hideMark/>
          </w:tcPr>
          <w:p w14:paraId="67F1F6B3" w14:textId="23A69451" w:rsidR="009838C9" w:rsidRPr="00835574" w:rsidRDefault="009838C9" w:rsidP="00994CDD">
            <w:pPr>
              <w:pStyle w:val="Sinespaciado"/>
              <w:jc w:val="center"/>
              <w:rPr>
                <w:rFonts w:eastAsia="Times New Roman"/>
                <w:sz w:val="18"/>
                <w:szCs w:val="18"/>
                <w:lang w:eastAsia="es-MX"/>
              </w:rPr>
            </w:pPr>
            <w:r w:rsidRPr="00835574">
              <w:rPr>
                <w:rFonts w:eastAsia="Times New Roman"/>
                <w:sz w:val="18"/>
                <w:szCs w:val="18"/>
                <w:lang w:eastAsia="es-MX"/>
              </w:rPr>
              <w:t>-</w:t>
            </w:r>
          </w:p>
        </w:tc>
      </w:tr>
    </w:tbl>
    <w:p w14:paraId="244D7C0B" w14:textId="4B9C871D" w:rsidR="0009743D" w:rsidRPr="00835574" w:rsidRDefault="0009743D" w:rsidP="00421E8E">
      <w:pPr>
        <w:pStyle w:val="Sinespaciado"/>
        <w:jc w:val="both"/>
      </w:pPr>
    </w:p>
    <w:tbl>
      <w:tblPr>
        <w:tblW w:w="5000" w:type="pct"/>
        <w:jc w:val="center"/>
        <w:tblCellMar>
          <w:left w:w="70" w:type="dxa"/>
          <w:right w:w="70" w:type="dxa"/>
        </w:tblCellMar>
        <w:tblLook w:val="04A0" w:firstRow="1" w:lastRow="0" w:firstColumn="1" w:lastColumn="0" w:noHBand="0" w:noVBand="1"/>
      </w:tblPr>
      <w:tblGrid>
        <w:gridCol w:w="3046"/>
        <w:gridCol w:w="2929"/>
        <w:gridCol w:w="2853"/>
      </w:tblGrid>
      <w:tr w:rsidR="00835574" w:rsidRPr="00835574" w14:paraId="0546853F" w14:textId="77777777" w:rsidTr="0031479F">
        <w:trPr>
          <w:trHeight w:val="178"/>
          <w:jc w:val="center"/>
        </w:trPr>
        <w:tc>
          <w:tcPr>
            <w:tcW w:w="1725" w:type="pct"/>
            <w:tcBorders>
              <w:top w:val="single" w:sz="4" w:space="0" w:color="auto"/>
              <w:left w:val="single" w:sz="4" w:space="0" w:color="auto"/>
              <w:bottom w:val="nil"/>
              <w:right w:val="nil"/>
            </w:tcBorders>
            <w:shd w:val="clear" w:color="000000" w:fill="D0CECE"/>
            <w:vAlign w:val="center"/>
            <w:hideMark/>
          </w:tcPr>
          <w:p w14:paraId="3ABD4FBA" w14:textId="77777777" w:rsidR="0031479F" w:rsidRPr="00835574" w:rsidRDefault="0031479F" w:rsidP="00994CDD">
            <w:pPr>
              <w:pStyle w:val="Sinespaciado"/>
              <w:jc w:val="center"/>
              <w:rPr>
                <w:rFonts w:eastAsia="Times New Roman"/>
                <w:b/>
                <w:bCs/>
                <w:sz w:val="18"/>
                <w:szCs w:val="18"/>
                <w:lang w:eastAsia="es-MX"/>
              </w:rPr>
            </w:pPr>
            <w:r w:rsidRPr="00835574">
              <w:rPr>
                <w:rFonts w:eastAsia="Times New Roman"/>
                <w:b/>
                <w:bCs/>
                <w:sz w:val="18"/>
                <w:szCs w:val="18"/>
                <w:lang w:eastAsia="es-MX"/>
              </w:rPr>
              <w:lastRenderedPageBreak/>
              <w:t>Suma de los cinco años</w:t>
            </w:r>
          </w:p>
        </w:tc>
        <w:tc>
          <w:tcPr>
            <w:tcW w:w="1659" w:type="pct"/>
            <w:tcBorders>
              <w:top w:val="single" w:sz="4" w:space="0" w:color="auto"/>
              <w:left w:val="nil"/>
              <w:bottom w:val="nil"/>
              <w:right w:val="nil"/>
            </w:tcBorders>
            <w:shd w:val="clear" w:color="000000" w:fill="D0CECE"/>
            <w:noWrap/>
            <w:vAlign w:val="center"/>
            <w:hideMark/>
          </w:tcPr>
          <w:p w14:paraId="0BA872A2" w14:textId="77777777" w:rsidR="0031479F" w:rsidRPr="00835574" w:rsidRDefault="0031479F" w:rsidP="00994CDD">
            <w:pPr>
              <w:pStyle w:val="Sinespaciado"/>
              <w:jc w:val="center"/>
              <w:rPr>
                <w:rFonts w:eastAsia="Times New Roman"/>
                <w:b/>
                <w:bCs/>
                <w:sz w:val="18"/>
                <w:szCs w:val="18"/>
                <w:lang w:eastAsia="es-MX"/>
              </w:rPr>
            </w:pPr>
            <w:r w:rsidRPr="00835574">
              <w:rPr>
                <w:rFonts w:eastAsia="Times New Roman"/>
                <w:b/>
                <w:bCs/>
                <w:sz w:val="18"/>
                <w:szCs w:val="18"/>
                <w:lang w:eastAsia="es-MX"/>
              </w:rPr>
              <w:t>Promedio</w:t>
            </w:r>
          </w:p>
        </w:tc>
        <w:tc>
          <w:tcPr>
            <w:tcW w:w="1616" w:type="pct"/>
            <w:tcBorders>
              <w:top w:val="single" w:sz="4" w:space="0" w:color="auto"/>
              <w:left w:val="nil"/>
              <w:bottom w:val="nil"/>
              <w:right w:val="single" w:sz="4" w:space="0" w:color="auto"/>
            </w:tcBorders>
            <w:shd w:val="clear" w:color="000000" w:fill="D0CECE"/>
            <w:noWrap/>
            <w:vAlign w:val="center"/>
            <w:hideMark/>
          </w:tcPr>
          <w:p w14:paraId="58425F15" w14:textId="77777777" w:rsidR="0031479F" w:rsidRPr="00835574" w:rsidRDefault="0031479F" w:rsidP="00994CDD">
            <w:pPr>
              <w:pStyle w:val="Sinespaciado"/>
              <w:jc w:val="center"/>
              <w:rPr>
                <w:rFonts w:eastAsia="Times New Roman"/>
                <w:b/>
                <w:bCs/>
                <w:sz w:val="18"/>
                <w:szCs w:val="18"/>
                <w:lang w:eastAsia="es-MX"/>
              </w:rPr>
            </w:pPr>
            <w:r w:rsidRPr="00835574">
              <w:rPr>
                <w:rFonts w:eastAsia="Times New Roman"/>
                <w:b/>
                <w:bCs/>
                <w:sz w:val="18"/>
                <w:szCs w:val="18"/>
                <w:lang w:eastAsia="es-MX"/>
              </w:rPr>
              <w:t>Porcentaje (10%)</w:t>
            </w:r>
          </w:p>
        </w:tc>
      </w:tr>
      <w:tr w:rsidR="0031479F" w:rsidRPr="00835574" w14:paraId="0DA7FB10" w14:textId="77777777" w:rsidTr="0031479F">
        <w:trPr>
          <w:trHeight w:val="276"/>
          <w:jc w:val="center"/>
        </w:trPr>
        <w:tc>
          <w:tcPr>
            <w:tcW w:w="1725" w:type="pct"/>
            <w:tcBorders>
              <w:top w:val="nil"/>
              <w:left w:val="single" w:sz="4" w:space="0" w:color="auto"/>
              <w:bottom w:val="single" w:sz="4" w:space="0" w:color="auto"/>
              <w:right w:val="nil"/>
            </w:tcBorders>
            <w:shd w:val="clear" w:color="auto" w:fill="auto"/>
            <w:noWrap/>
            <w:vAlign w:val="center"/>
            <w:hideMark/>
          </w:tcPr>
          <w:p w14:paraId="7D72627A" w14:textId="4E4B4640" w:rsidR="0031479F" w:rsidRPr="00835574" w:rsidRDefault="0031479F" w:rsidP="00994CDD">
            <w:pPr>
              <w:pStyle w:val="Sinespaciado"/>
              <w:jc w:val="center"/>
              <w:rPr>
                <w:rFonts w:eastAsia="Times New Roman"/>
                <w:sz w:val="18"/>
                <w:szCs w:val="18"/>
                <w:lang w:eastAsia="es-MX"/>
              </w:rPr>
            </w:pPr>
            <w:r w:rsidRPr="00835574">
              <w:rPr>
                <w:rFonts w:eastAsia="Times New Roman"/>
                <w:sz w:val="18"/>
                <w:szCs w:val="18"/>
                <w:lang w:eastAsia="es-MX"/>
              </w:rPr>
              <w:t>1,726,039,914.98</w:t>
            </w:r>
          </w:p>
        </w:tc>
        <w:tc>
          <w:tcPr>
            <w:tcW w:w="1659" w:type="pct"/>
            <w:tcBorders>
              <w:top w:val="nil"/>
              <w:left w:val="nil"/>
              <w:bottom w:val="single" w:sz="4" w:space="0" w:color="auto"/>
              <w:right w:val="nil"/>
            </w:tcBorders>
            <w:shd w:val="clear" w:color="auto" w:fill="auto"/>
            <w:noWrap/>
            <w:vAlign w:val="center"/>
            <w:hideMark/>
          </w:tcPr>
          <w:p w14:paraId="2838E30D" w14:textId="0FCA843E" w:rsidR="0031479F" w:rsidRPr="00835574" w:rsidRDefault="0031479F" w:rsidP="00994CDD">
            <w:pPr>
              <w:pStyle w:val="Sinespaciado"/>
              <w:jc w:val="center"/>
              <w:rPr>
                <w:rFonts w:eastAsia="Times New Roman"/>
                <w:sz w:val="18"/>
                <w:szCs w:val="18"/>
                <w:lang w:eastAsia="es-MX"/>
              </w:rPr>
            </w:pPr>
            <w:r w:rsidRPr="00835574">
              <w:rPr>
                <w:rFonts w:eastAsia="Times New Roman"/>
                <w:sz w:val="18"/>
                <w:szCs w:val="18"/>
                <w:lang w:eastAsia="es-MX"/>
              </w:rPr>
              <w:t>345,207,983.00</w:t>
            </w:r>
          </w:p>
        </w:tc>
        <w:tc>
          <w:tcPr>
            <w:tcW w:w="1616" w:type="pct"/>
            <w:tcBorders>
              <w:top w:val="nil"/>
              <w:left w:val="nil"/>
              <w:bottom w:val="single" w:sz="4" w:space="0" w:color="auto"/>
              <w:right w:val="single" w:sz="4" w:space="0" w:color="auto"/>
            </w:tcBorders>
            <w:shd w:val="clear" w:color="auto" w:fill="auto"/>
            <w:noWrap/>
            <w:vAlign w:val="center"/>
            <w:hideMark/>
          </w:tcPr>
          <w:p w14:paraId="296B1F99" w14:textId="1BBAD599" w:rsidR="0031479F" w:rsidRPr="00835574" w:rsidRDefault="0031479F" w:rsidP="00994CDD">
            <w:pPr>
              <w:pStyle w:val="Sinespaciado"/>
              <w:jc w:val="center"/>
              <w:rPr>
                <w:rFonts w:eastAsia="Times New Roman"/>
                <w:sz w:val="18"/>
                <w:szCs w:val="18"/>
                <w:lang w:eastAsia="es-MX"/>
              </w:rPr>
            </w:pPr>
            <w:r w:rsidRPr="00835574">
              <w:rPr>
                <w:rFonts w:eastAsia="Times New Roman"/>
                <w:sz w:val="18"/>
                <w:szCs w:val="18"/>
                <w:lang w:eastAsia="es-MX"/>
              </w:rPr>
              <w:t>34,520,798.30</w:t>
            </w:r>
          </w:p>
        </w:tc>
      </w:tr>
    </w:tbl>
    <w:p w14:paraId="73E1BEDA" w14:textId="77777777" w:rsidR="0031479F" w:rsidRPr="00835574" w:rsidRDefault="0031479F" w:rsidP="00421E8E">
      <w:pPr>
        <w:pStyle w:val="Sinespaciado"/>
        <w:jc w:val="both"/>
      </w:pPr>
    </w:p>
    <w:p w14:paraId="4EF84A90" w14:textId="43E21C3D" w:rsidR="0009743D" w:rsidRPr="00835574" w:rsidRDefault="00D67C93" w:rsidP="00421E8E">
      <w:pPr>
        <w:pStyle w:val="Sinespaciado"/>
        <w:jc w:val="both"/>
      </w:pPr>
      <w:r w:rsidRPr="00835574">
        <w:t>Es importante precisar</w:t>
      </w:r>
      <w:r w:rsidR="00B8029D" w:rsidRPr="00835574">
        <w:t>,</w:t>
      </w:r>
      <w:r w:rsidRPr="00835574">
        <w:t xml:space="preserve"> que</w:t>
      </w:r>
      <w:r w:rsidR="004A3EE3" w:rsidRPr="00835574">
        <w:t xml:space="preserve"> a</w:t>
      </w:r>
      <w:r w:rsidR="0031479F" w:rsidRPr="00835574">
        <w:t xml:space="preserve"> raíz de los terremotos del 7 y 19 de septiembre de 2017, el </w:t>
      </w:r>
      <w:r w:rsidR="00ED6ED9" w:rsidRPr="00835574">
        <w:t xml:space="preserve">Gobierno del Estado, </w:t>
      </w:r>
      <w:r w:rsidR="0031479F" w:rsidRPr="00835574">
        <w:t>autorizó la contratación de un seguro catastrófico que se activará en el caso de un sismo de magnitud superior a 8 grados Richter.</w:t>
      </w:r>
    </w:p>
    <w:p w14:paraId="374ED96F" w14:textId="66F84612" w:rsidR="00375256" w:rsidRPr="00835574" w:rsidRDefault="00375256" w:rsidP="00421E8E">
      <w:pPr>
        <w:pStyle w:val="Sinespaciado"/>
        <w:jc w:val="both"/>
      </w:pPr>
    </w:p>
    <w:p w14:paraId="5DA51D12" w14:textId="299AC0C6" w:rsidR="00375256" w:rsidRPr="00835574" w:rsidRDefault="00375256" w:rsidP="00421E8E">
      <w:pPr>
        <w:pStyle w:val="Sinespaciado"/>
        <w:jc w:val="both"/>
        <w:rPr>
          <w:b/>
          <w:bCs/>
        </w:rPr>
      </w:pPr>
      <w:r w:rsidRPr="00835574">
        <w:rPr>
          <w:b/>
          <w:bCs/>
        </w:rPr>
        <w:t>SISTEMA DE EVALUACIÓN DEL DESEMPEÑO</w:t>
      </w:r>
    </w:p>
    <w:p w14:paraId="30E22421" w14:textId="6E90C24E" w:rsidR="00841546" w:rsidRPr="00835574" w:rsidRDefault="00841546" w:rsidP="00421E8E">
      <w:pPr>
        <w:pStyle w:val="Sinespaciado"/>
        <w:jc w:val="both"/>
        <w:rPr>
          <w:b/>
          <w:bCs/>
        </w:rPr>
      </w:pPr>
    </w:p>
    <w:p w14:paraId="05A0D569" w14:textId="1097BFDC" w:rsidR="00841546" w:rsidRPr="00835574" w:rsidRDefault="00841546" w:rsidP="00841546">
      <w:pPr>
        <w:pStyle w:val="Sinespaciado"/>
        <w:jc w:val="both"/>
        <w:rPr>
          <w:rFonts w:ascii="Calibri" w:hAnsi="Calibri" w:cs="Calibri"/>
        </w:rPr>
      </w:pPr>
      <w:r w:rsidRPr="00835574">
        <w:rPr>
          <w:rFonts w:ascii="Calibri" w:hAnsi="Calibri" w:cs="Calibri"/>
        </w:rPr>
        <w:t xml:space="preserve">La evaluación del desempeño requiere realizar acciones que permitan la modernización en el control de los procesos, fortaleciendo la Gestión para Resultados (GpR), </w:t>
      </w:r>
      <w:r w:rsidR="001063AE">
        <w:rPr>
          <w:rFonts w:ascii="Calibri" w:hAnsi="Calibri" w:cs="Calibri"/>
        </w:rPr>
        <w:t>logrando</w:t>
      </w:r>
      <w:r w:rsidRPr="00835574">
        <w:rPr>
          <w:rFonts w:ascii="Calibri" w:hAnsi="Calibri" w:cs="Calibri"/>
        </w:rPr>
        <w:t xml:space="preserve"> encaminar a la administración pública </w:t>
      </w:r>
      <w:r w:rsidR="00DC5444">
        <w:rPr>
          <w:rFonts w:ascii="Calibri" w:hAnsi="Calibri" w:cs="Calibri"/>
        </w:rPr>
        <w:t>hacia</w:t>
      </w:r>
      <w:r w:rsidRPr="00835574">
        <w:rPr>
          <w:rFonts w:ascii="Calibri" w:hAnsi="Calibri" w:cs="Calibri"/>
        </w:rPr>
        <w:t xml:space="preserve"> un modelo de cultura organizacional a través del cual se adopta</w:t>
      </w:r>
      <w:r w:rsidR="00DC5444">
        <w:rPr>
          <w:rFonts w:ascii="Calibri" w:hAnsi="Calibri" w:cs="Calibri"/>
        </w:rPr>
        <w:t>rá</w:t>
      </w:r>
      <w:r w:rsidRPr="00835574">
        <w:rPr>
          <w:rFonts w:ascii="Calibri" w:hAnsi="Calibri" w:cs="Calibri"/>
        </w:rPr>
        <w:t xml:space="preserve"> un enfoque que ponga mayor atención en los resultados. La Secretaría de Finanzas realizará actividades orientadas hacia la consolidación del Presupuesto basado en Resultados y a la total implementación del Sistema de Evaluación del Desempeño (PbR-SED).</w:t>
      </w:r>
    </w:p>
    <w:p w14:paraId="0627CADB" w14:textId="77777777" w:rsidR="00841546" w:rsidRPr="00835574" w:rsidRDefault="00841546" w:rsidP="00841546">
      <w:pPr>
        <w:pStyle w:val="Sinespaciado"/>
        <w:jc w:val="both"/>
        <w:rPr>
          <w:rFonts w:ascii="Calibri" w:hAnsi="Calibri" w:cs="Calibri"/>
        </w:rPr>
      </w:pPr>
    </w:p>
    <w:p w14:paraId="427B0CA4" w14:textId="6D829FF8" w:rsidR="00841546" w:rsidRPr="00835574" w:rsidRDefault="00841546" w:rsidP="00421E8E">
      <w:pPr>
        <w:pStyle w:val="Sinespaciado"/>
        <w:jc w:val="both"/>
        <w:rPr>
          <w:rFonts w:ascii="Calibri" w:hAnsi="Calibri" w:cs="Calibri"/>
        </w:rPr>
      </w:pPr>
      <w:r w:rsidRPr="00835574">
        <w:rPr>
          <w:rFonts w:ascii="Calibri" w:hAnsi="Calibri" w:cs="Calibri"/>
        </w:rPr>
        <w:t>Los resultados del Informe de Desempeño Presupuestal -</w:t>
      </w:r>
      <w:r w:rsidR="00A2641A" w:rsidRPr="00835574">
        <w:rPr>
          <w:rFonts w:ascii="Calibri" w:hAnsi="Calibri" w:cs="Calibri"/>
        </w:rPr>
        <w:t xml:space="preserve"> </w:t>
      </w:r>
      <w:r w:rsidRPr="00835574">
        <w:rPr>
          <w:rFonts w:ascii="Calibri" w:hAnsi="Calibri" w:cs="Calibri"/>
        </w:rPr>
        <w:t xml:space="preserve">de programas presupuestarios </w:t>
      </w:r>
      <w:r w:rsidR="00A2641A" w:rsidRPr="00835574">
        <w:rPr>
          <w:rFonts w:ascii="Calibri" w:hAnsi="Calibri" w:cs="Calibri"/>
        </w:rPr>
        <w:t xml:space="preserve">- </w:t>
      </w:r>
      <w:r w:rsidRPr="00835574">
        <w:rPr>
          <w:rFonts w:ascii="Calibri" w:hAnsi="Calibri" w:cs="Calibri"/>
        </w:rPr>
        <w:t>unidades responsables- de la Dirección de Seguimiento a la Inversión Pública y, los resultados del Programa Anual de Evaluación de Desempeño, y de los Aspectos Susceptibles de Mejora (ASM) de la Dirección General de la Instancia Técnica de Evaluación, permitirá determinar las modificaciones y/o actualizaciones a los programas presupuestarios que estarán vigentes en el ejercicio fiscal 2023. Estos resultados deberán tomarse como parámetro para sentar las bases para el Plan Estatal de Desarrollo 2022-2028.</w:t>
      </w:r>
    </w:p>
    <w:p w14:paraId="266407C2" w14:textId="668A6555" w:rsidR="00892736" w:rsidRPr="00835574" w:rsidRDefault="00892736" w:rsidP="00421E8E">
      <w:pPr>
        <w:pStyle w:val="Sinespaciado"/>
        <w:jc w:val="both"/>
        <w:rPr>
          <w:b/>
          <w:bCs/>
        </w:rPr>
      </w:pPr>
    </w:p>
    <w:p w14:paraId="4B0EC2B6" w14:textId="46CFD689" w:rsidR="00892736" w:rsidRPr="00835574" w:rsidRDefault="00C62AEE" w:rsidP="00C62AEE">
      <w:pPr>
        <w:pStyle w:val="Sinespaciado"/>
        <w:jc w:val="both"/>
        <w:rPr>
          <w:b/>
          <w:bCs/>
        </w:rPr>
      </w:pPr>
      <w:r w:rsidRPr="00835574">
        <w:rPr>
          <w:b/>
          <w:bCs/>
        </w:rPr>
        <w:t>ASPECTOS RELEVANTES DEL PRESUPUESTO DE EGRESOS</w:t>
      </w:r>
    </w:p>
    <w:p w14:paraId="1050A785" w14:textId="77777777" w:rsidR="00892736" w:rsidRPr="00835574" w:rsidRDefault="00892736" w:rsidP="00892736">
      <w:pPr>
        <w:pStyle w:val="Sinespaciado"/>
      </w:pPr>
    </w:p>
    <w:p w14:paraId="39BB00CA" w14:textId="77777777" w:rsidR="00C62AEE" w:rsidRPr="00835574" w:rsidRDefault="00C62AEE" w:rsidP="00C62AEE">
      <w:pPr>
        <w:pStyle w:val="Sinespaciado"/>
        <w:jc w:val="both"/>
      </w:pPr>
      <w:r w:rsidRPr="00835574">
        <w:t>Con el propósito de mejorar la productividad, superar las carencias sociales, proporcionar bienestar social y económico, impulsar el desarrollo cultural, la preservación del medio ambiente y de los recursos naturales, se destinan en el presupuesto de egresos recursos adicionales para lo siguiente:</w:t>
      </w:r>
    </w:p>
    <w:p w14:paraId="561A08E4" w14:textId="77777777" w:rsidR="00C62AEE" w:rsidRPr="00835574" w:rsidRDefault="00C62AEE" w:rsidP="00C62AEE">
      <w:pPr>
        <w:pStyle w:val="Sinespaciado"/>
        <w:jc w:val="both"/>
      </w:pPr>
    </w:p>
    <w:p w14:paraId="3FD405EB" w14:textId="48DEBD09" w:rsidR="00C62AEE" w:rsidRPr="00835574" w:rsidRDefault="00C62AEE">
      <w:pPr>
        <w:pStyle w:val="Sinespaciado"/>
        <w:numPr>
          <w:ilvl w:val="0"/>
          <w:numId w:val="46"/>
        </w:numPr>
        <w:jc w:val="both"/>
      </w:pPr>
      <w:r w:rsidRPr="00835574">
        <w:t xml:space="preserve">Convertir áreas degradadas e improductivas en plantaciones con especies maderables, no maderables, endémicas y </w:t>
      </w:r>
      <w:r w:rsidRPr="00CA4251">
        <w:t>de cobert</w:t>
      </w:r>
      <w:r w:rsidR="00CA4251" w:rsidRPr="00CA4251">
        <w:t>u</w:t>
      </w:r>
      <w:r w:rsidRPr="00CA4251">
        <w:t>ra, para</w:t>
      </w:r>
      <w:r w:rsidRPr="00835574">
        <w:t xml:space="preserve"> mejorar el ambiente y aumentar la recarga de mantos fr</w:t>
      </w:r>
      <w:r w:rsidR="00DC5444">
        <w:t>e</w:t>
      </w:r>
      <w:r w:rsidRPr="00835574">
        <w:t>áticos y acuíferos, para lo cual se destinan 329.99 mdp para impulsar el rescate de los ecosistemas, así como para el manejo integral de los recursos naturales.</w:t>
      </w:r>
    </w:p>
    <w:p w14:paraId="43F3E236" w14:textId="77777777" w:rsidR="00C62AEE" w:rsidRPr="00835574" w:rsidRDefault="00C62AEE" w:rsidP="00C62AEE">
      <w:pPr>
        <w:pStyle w:val="Sinespaciado"/>
        <w:jc w:val="both"/>
      </w:pPr>
    </w:p>
    <w:p w14:paraId="7E3A0349" w14:textId="77777777" w:rsidR="00C62AEE" w:rsidRPr="00835574" w:rsidRDefault="00C62AEE">
      <w:pPr>
        <w:pStyle w:val="Sinespaciado"/>
        <w:numPr>
          <w:ilvl w:val="0"/>
          <w:numId w:val="46"/>
        </w:numPr>
        <w:jc w:val="both"/>
      </w:pPr>
      <w:r w:rsidRPr="00835574">
        <w:t xml:space="preserve">Para atender la red de caminos </w:t>
      </w:r>
      <w:r w:rsidRPr="005F0231">
        <w:rPr>
          <w:rStyle w:val="nfasis"/>
          <w:i w:val="0"/>
          <w:iCs w:val="0"/>
        </w:rPr>
        <w:t>rurales</w:t>
      </w:r>
      <w:r w:rsidRPr="005F0231">
        <w:rPr>
          <w:i/>
          <w:iCs/>
        </w:rPr>
        <w:t xml:space="preserve"> </w:t>
      </w:r>
      <w:r w:rsidRPr="00835574">
        <w:t>de la Entidad, se destinan 1,000 mdp, a fin de impulsar el desarrollo rural sostenible en las pequeñas localidades para crear y mejorar las vías de comunicación, logrando la conectividad entre los mercados regionales y con esto potencializar las riquezas de cada lugar, y en consecuencia se darán pasos para combatir la pobreza y las desigualdades sociales.</w:t>
      </w:r>
    </w:p>
    <w:p w14:paraId="129D0746" w14:textId="77777777" w:rsidR="00C62AEE" w:rsidRPr="00835574" w:rsidRDefault="00C62AEE" w:rsidP="00C62AEE">
      <w:pPr>
        <w:pStyle w:val="Sinespaciado"/>
        <w:jc w:val="both"/>
      </w:pPr>
    </w:p>
    <w:p w14:paraId="2D2CD6BB" w14:textId="6FFAB603" w:rsidR="00C62AEE" w:rsidRPr="00835574" w:rsidRDefault="00C62AEE">
      <w:pPr>
        <w:pStyle w:val="Sinespaciado"/>
        <w:numPr>
          <w:ilvl w:val="0"/>
          <w:numId w:val="46"/>
        </w:numPr>
        <w:jc w:val="both"/>
      </w:pPr>
      <w:r w:rsidRPr="00835574">
        <w:lastRenderedPageBreak/>
        <w:t>Propiciar una eficiente inserción de los productos agropecuarios en las cadenas productivas, que les permita generar empleo y agregar mayor valor a sus productos, con la finalidad de tener una mayor participación en el mercado sin necesidad de intermediarios, para lo cual se asignan 86.24 mdp</w:t>
      </w:r>
      <w:r w:rsidR="0024534F">
        <w:t>.</w:t>
      </w:r>
    </w:p>
    <w:p w14:paraId="2C3696A8" w14:textId="77777777" w:rsidR="00C62AEE" w:rsidRPr="00835574" w:rsidRDefault="00C62AEE" w:rsidP="00C62AEE">
      <w:pPr>
        <w:pStyle w:val="Sinespaciado"/>
        <w:jc w:val="both"/>
      </w:pPr>
    </w:p>
    <w:p w14:paraId="453E72E3" w14:textId="77777777" w:rsidR="00C62AEE" w:rsidRPr="00835574" w:rsidRDefault="00C62AEE">
      <w:pPr>
        <w:pStyle w:val="Sinespaciado"/>
        <w:numPr>
          <w:ilvl w:val="0"/>
          <w:numId w:val="46"/>
        </w:numPr>
        <w:jc w:val="both"/>
      </w:pPr>
      <w:r w:rsidRPr="00835574">
        <w:t>Impulsar la autosuficiencia alimentaria, a través de la implementación de una política agrícola que asegure el abastecimiento de alimentos para satisfacer las necesidades de la población del estado de Oaxaca, desarrollando un sistema alimentario que considere la producción, transformación, comercialización mediante el uso de tecnologías y de los servicios financieros, para lo cual se destinan 283.76 mdp, para el ejercicio fiscal 2023.</w:t>
      </w:r>
    </w:p>
    <w:p w14:paraId="07CA4FBA" w14:textId="77777777" w:rsidR="00C62AEE" w:rsidRPr="00835574" w:rsidRDefault="00C62AEE" w:rsidP="00C62AEE">
      <w:pPr>
        <w:pStyle w:val="Sinespaciado"/>
        <w:jc w:val="both"/>
      </w:pPr>
    </w:p>
    <w:p w14:paraId="77613D34" w14:textId="77777777" w:rsidR="00C62AEE" w:rsidRPr="00835574" w:rsidRDefault="00C62AEE">
      <w:pPr>
        <w:pStyle w:val="Sinespaciado"/>
        <w:numPr>
          <w:ilvl w:val="0"/>
          <w:numId w:val="46"/>
        </w:numPr>
        <w:jc w:val="both"/>
      </w:pPr>
      <w:r w:rsidRPr="00835574">
        <w:t>Los cambios de clima y los eventos naturales extremos de los últimos tiempos ponen en riesgo a la agricultura en general y, en especial, la del maíz de subsistencia, el cual es uno de los recursos de mayor relevancia desde el punto de vista social, económico y alimentario para los oaxaqueños que rige la vida familiar y comunitaria de campesinos tradicionales en crisis. Por lo tanto, se asignan 335.73 mdp para proveer a los productores de maíz de paquetes tecnológicos que mejoren el cultivo del maíz, permitiéndoles acceder a contar con semilla certificada, insumos de nutrición vegetal y de control fitosanitario, específicos según sea el caso.</w:t>
      </w:r>
    </w:p>
    <w:p w14:paraId="6875DB4A" w14:textId="77777777" w:rsidR="00C62AEE" w:rsidRPr="00835574" w:rsidRDefault="00C62AEE" w:rsidP="00C62AEE">
      <w:pPr>
        <w:pStyle w:val="Sinespaciado"/>
        <w:jc w:val="both"/>
      </w:pPr>
    </w:p>
    <w:p w14:paraId="0C6A9933" w14:textId="78B39BB7" w:rsidR="00C62AEE" w:rsidRPr="00835574" w:rsidRDefault="00C62AEE">
      <w:pPr>
        <w:pStyle w:val="Sinespaciado"/>
        <w:numPr>
          <w:ilvl w:val="0"/>
          <w:numId w:val="46"/>
        </w:numPr>
        <w:jc w:val="both"/>
      </w:pPr>
      <w:r w:rsidRPr="00835574">
        <w:t xml:space="preserve">Como política </w:t>
      </w:r>
      <w:r w:rsidR="00DC5444" w:rsidRPr="00835574">
        <w:t>pública</w:t>
      </w:r>
      <w:r w:rsidRPr="00835574">
        <w:t xml:space="preserve"> para erradicar la violencia contra la mujer oaxaqueña se asignan 189 mdp, para que las mujeres, que sean </w:t>
      </w:r>
      <w:r w:rsidR="00DC5444" w:rsidRPr="00835574">
        <w:t>víctimas</w:t>
      </w:r>
      <w:r w:rsidRPr="00835574">
        <w:t xml:space="preserve"> de violencia, cuenten con un fondo económico para emergencias, mismo que podrá ser utilizado para alimentación, pago de renta, transporte, o lo que la víctima considere necesario. </w:t>
      </w:r>
    </w:p>
    <w:p w14:paraId="708401E8" w14:textId="77777777" w:rsidR="00C62AEE" w:rsidRPr="00835574" w:rsidRDefault="00C62AEE" w:rsidP="00C62AEE">
      <w:pPr>
        <w:pStyle w:val="Sinespaciado"/>
        <w:jc w:val="both"/>
      </w:pPr>
    </w:p>
    <w:p w14:paraId="134A0CF5" w14:textId="77777777" w:rsidR="00C62AEE" w:rsidRPr="00835574" w:rsidRDefault="00C62AEE">
      <w:pPr>
        <w:pStyle w:val="Sinespaciado"/>
        <w:numPr>
          <w:ilvl w:val="0"/>
          <w:numId w:val="46"/>
        </w:numPr>
        <w:jc w:val="both"/>
      </w:pPr>
      <w:r w:rsidRPr="00835574">
        <w:t xml:space="preserve">Para aumentar la producción y productividad en las diferentes ramas económicas y sectores productivos, se asignan 50 mdp con la finalidad de reducir la desigualdad social y el rezago económico. </w:t>
      </w:r>
    </w:p>
    <w:p w14:paraId="1ADFC73B" w14:textId="77777777" w:rsidR="00C62AEE" w:rsidRPr="00835574" w:rsidRDefault="00C62AEE" w:rsidP="00C62AEE">
      <w:pPr>
        <w:pStyle w:val="Sinespaciado"/>
        <w:jc w:val="both"/>
      </w:pPr>
    </w:p>
    <w:p w14:paraId="15EAED11" w14:textId="77777777" w:rsidR="00C62AEE" w:rsidRPr="00835574" w:rsidRDefault="00C62AEE" w:rsidP="00C62AEE">
      <w:pPr>
        <w:pStyle w:val="Sinespaciado"/>
        <w:jc w:val="both"/>
      </w:pPr>
      <w:r w:rsidRPr="00835574">
        <w:t>Reducir las emisiones contaminantes de los vehículos motorizados, es prioritario para evitar el crecimiento de enfermedades respiratorias en la población ubicada en áreas urbanas que presentan altos índices de contaminación atmosférica, en razón de lo anterior, se asignan 6.23 mdp, recursos etiquetados a la Secretaría del Medio Ambiente, Energías y Desarrollo Sustentable, para la operación de los Centros de Verificación Vehicular.</w:t>
      </w:r>
    </w:p>
    <w:p w14:paraId="7095555A" w14:textId="77777777" w:rsidR="00C62AEE" w:rsidRPr="00835574" w:rsidRDefault="00C62AEE" w:rsidP="00C62AEE">
      <w:pPr>
        <w:pStyle w:val="Sinespaciado"/>
        <w:jc w:val="both"/>
      </w:pPr>
    </w:p>
    <w:p w14:paraId="2BF85608" w14:textId="77777777" w:rsidR="00C62AEE" w:rsidRPr="00835574" w:rsidRDefault="00C62AEE" w:rsidP="00C62AEE">
      <w:pPr>
        <w:pStyle w:val="Sinespaciado"/>
        <w:jc w:val="both"/>
      </w:pPr>
      <w:r w:rsidRPr="00835574">
        <w:t>Prevenir el desequilibrio y la alteración de las cadenas alimenticias y de los procesos de vida de la biodiversidad en los ecosistemas del Estado es indispensable, en ese tenor es relevante asignar recursos públicos a fin de integrar y conformar grupos especializados en las tareas de prevención, control y liquidación de incendios de masa vegetal, destinando a estas actividades la cantidad de 3.06 mdp para ser ejercidos por la Comisión Estatal Forestal.</w:t>
      </w:r>
    </w:p>
    <w:p w14:paraId="71093FF4" w14:textId="77777777" w:rsidR="00C62AEE" w:rsidRPr="00835574" w:rsidRDefault="00C62AEE" w:rsidP="00C62AEE">
      <w:pPr>
        <w:pStyle w:val="Sinespaciado"/>
        <w:jc w:val="both"/>
      </w:pPr>
    </w:p>
    <w:p w14:paraId="0AE765AF" w14:textId="1A46B26C" w:rsidR="00C62AEE" w:rsidRPr="00835574" w:rsidRDefault="00C62AEE" w:rsidP="00C62AEE">
      <w:pPr>
        <w:pStyle w:val="Sinespaciado"/>
        <w:jc w:val="both"/>
      </w:pPr>
      <w:r w:rsidRPr="00835574">
        <w:lastRenderedPageBreak/>
        <w:t xml:space="preserve">Prevención y atención oportuna a la población que resulte afectada ante posibles daños derivados de actividades sísmicas, esto considerando que el estado de Oaxaca es una entidad que anualmente presenta mayor actividad sísmica en comparación con el resto de los Estados de la República Mexicana, bajo esa premisa resulta oportuno asignar a la Coordinación Estatal de Protección Civil 8.5 mdp para el mantenimiento de las alertas sísmicas, y 104 mdp para el pago del Seguro </w:t>
      </w:r>
      <w:r w:rsidR="00F745E3">
        <w:t xml:space="preserve">de Riesgos </w:t>
      </w:r>
      <w:r w:rsidRPr="00835574">
        <w:t>Catastrófico</w:t>
      </w:r>
      <w:r w:rsidR="00F745E3">
        <w:t>s</w:t>
      </w:r>
      <w:r w:rsidRPr="00835574">
        <w:t>.</w:t>
      </w:r>
    </w:p>
    <w:p w14:paraId="6A34AFBB" w14:textId="77777777" w:rsidR="00C62AEE" w:rsidRPr="00835574" w:rsidRDefault="00C62AEE" w:rsidP="00C62AEE">
      <w:pPr>
        <w:pStyle w:val="Sinespaciado"/>
        <w:jc w:val="both"/>
      </w:pPr>
    </w:p>
    <w:p w14:paraId="02468BE1" w14:textId="77777777" w:rsidR="00C62AEE" w:rsidRPr="00835574" w:rsidRDefault="00C62AEE" w:rsidP="00C62AEE">
      <w:pPr>
        <w:pStyle w:val="Sinespaciado"/>
        <w:jc w:val="both"/>
      </w:pPr>
      <w:r w:rsidRPr="00835574">
        <w:t>Garantizar la existencia y disponibilidad permanente de los medicamentos oncológicos necesarios para la atención de las niñas, niños y adolescentes pacientes del Hospital de la Niñez Oaxaqueña, a fin de satisfacer plenamente su derecho a una atención médica oportuna, de calidad, con suficiencia y disponibilidad de medicamentos adecuados conforme a cada tratamiento, y se evite que su estado de salud, incluso su vida, se vea comprometida, en razón de lo anterior, el presente proyecto de Decreto de Presupuesto asigna 30 mdp destinados para la adquisición de medicamentos oncológicos.</w:t>
      </w:r>
    </w:p>
    <w:p w14:paraId="6770DC46" w14:textId="77777777" w:rsidR="00C62AEE" w:rsidRPr="00835574" w:rsidRDefault="00C62AEE" w:rsidP="00C62AEE">
      <w:pPr>
        <w:pStyle w:val="Sinespaciado"/>
        <w:jc w:val="both"/>
      </w:pPr>
    </w:p>
    <w:p w14:paraId="6FBF69B5" w14:textId="1D69B804" w:rsidR="00C62AEE" w:rsidRPr="00835574" w:rsidRDefault="00C62AEE" w:rsidP="00C62AEE">
      <w:pPr>
        <w:pStyle w:val="Sinespaciado"/>
        <w:jc w:val="both"/>
      </w:pPr>
      <w:r w:rsidRPr="00835574">
        <w:t>Es de vital importación que el Gobierno del Estado, en una política de salud responsable, y ante los resultados derivados de la pandemia por el Virus Sars-CoV2 (COVID-19), reconozca la necesidad de asignar recursos adicionales para dar cobertura a la ASE líquida, para ser destinado a la contratación de personal médico, paramédico y afín que se encuentre directamente asociado a la prevención y procuración de la salud de la población. Cumpliendo con lo previsto en la Constitución Política de los Estados Unidos Mexicanos artículo 4, reconociendo el derecho humano a la protección de la Salud. Bajo esa premisa en el ejercicio fiscal 2023, se propone a los Servicios de Salud de Oaxaca, una asignación adicional de 1,172.67 mdp para dar cobertura a la ASE Líquida.</w:t>
      </w:r>
    </w:p>
    <w:p w14:paraId="107CD75B" w14:textId="77777777" w:rsidR="00635654" w:rsidRPr="00835574" w:rsidRDefault="00635654" w:rsidP="00635654">
      <w:pPr>
        <w:pStyle w:val="Sinespaciado"/>
        <w:jc w:val="both"/>
      </w:pPr>
    </w:p>
    <w:p w14:paraId="67DF7D00" w14:textId="2257188B" w:rsidR="00635654" w:rsidRPr="00835574" w:rsidRDefault="00635654" w:rsidP="00635654">
      <w:pPr>
        <w:pStyle w:val="Sinespaciado"/>
        <w:jc w:val="both"/>
        <w:rPr>
          <w:b/>
          <w:bCs/>
        </w:rPr>
      </w:pPr>
      <w:r w:rsidRPr="00835574">
        <w:rPr>
          <w:b/>
          <w:bCs/>
        </w:rPr>
        <w:t>CLASIFICADORES DEL GASTO</w:t>
      </w:r>
    </w:p>
    <w:p w14:paraId="025559E7" w14:textId="77777777" w:rsidR="00521DCC" w:rsidRPr="00835574" w:rsidRDefault="00521DCC" w:rsidP="00635654">
      <w:pPr>
        <w:pStyle w:val="Sinespaciado"/>
        <w:jc w:val="both"/>
        <w:rPr>
          <w:b/>
          <w:bCs/>
        </w:rPr>
      </w:pPr>
    </w:p>
    <w:p w14:paraId="12564472" w14:textId="285ABA1F" w:rsidR="00521DCC" w:rsidRPr="00835574" w:rsidRDefault="00521DCC" w:rsidP="00635654">
      <w:pPr>
        <w:pStyle w:val="Sinespaciado"/>
        <w:jc w:val="both"/>
      </w:pPr>
      <w:r w:rsidRPr="00835574">
        <w:t>La iniciativa que se somete a consideración de esa Soberanía, estima recursos por el orden de</w:t>
      </w:r>
      <w:r w:rsidRPr="00835574">
        <w:rPr>
          <w:b/>
        </w:rPr>
        <w:t xml:space="preserve"> </w:t>
      </w:r>
      <w:r w:rsidRPr="00835574">
        <w:rPr>
          <w:b/>
          <w:bCs/>
        </w:rPr>
        <w:t>92,229.48 mdp</w:t>
      </w:r>
      <w:r w:rsidRPr="00835574">
        <w:t>, que en comparación con el ejercicio fiscal 20</w:t>
      </w:r>
      <w:r w:rsidR="00782124">
        <w:t>22</w:t>
      </w:r>
      <w:r w:rsidRPr="00835574">
        <w:t xml:space="preserve"> presenta un incremento de </w:t>
      </w:r>
      <w:r w:rsidR="00782124">
        <w:t>11.38</w:t>
      </w:r>
      <w:r w:rsidRPr="00835574">
        <w:t xml:space="preserve"> por ciento, que en términos nominales </w:t>
      </w:r>
      <w:r w:rsidR="00994CDD">
        <w:t>incrementa en</w:t>
      </w:r>
      <w:r w:rsidRPr="00835574">
        <w:t xml:space="preserve"> </w:t>
      </w:r>
      <w:r w:rsidRPr="00835574">
        <w:rPr>
          <w:b/>
          <w:bCs/>
        </w:rPr>
        <w:t>9,421.28 mdp</w:t>
      </w:r>
      <w:r w:rsidRPr="00835574">
        <w:t>. Los recursos antes mencionados se presentan en cuatro diferentes clasificadores del gasto con el propósito de conocer hacia dónde se dirigen los recursos públicos correspondientes al ejercicio fiscal 2023.</w:t>
      </w:r>
    </w:p>
    <w:p w14:paraId="7F7DFF20" w14:textId="77777777" w:rsidR="00635654" w:rsidRPr="00835574" w:rsidRDefault="00635654" w:rsidP="00635654">
      <w:pPr>
        <w:pStyle w:val="Sinespaciado"/>
        <w:jc w:val="both"/>
        <w:rPr>
          <w:b/>
          <w:bCs/>
        </w:rPr>
      </w:pPr>
    </w:p>
    <w:p w14:paraId="205E8A0A" w14:textId="249E4C3D" w:rsidR="00635654" w:rsidRPr="00835574" w:rsidRDefault="00635654" w:rsidP="00635654">
      <w:pPr>
        <w:pStyle w:val="Sinespaciado"/>
        <w:jc w:val="both"/>
        <w:rPr>
          <w:b/>
          <w:bCs/>
        </w:rPr>
      </w:pPr>
      <w:r w:rsidRPr="00835574">
        <w:rPr>
          <w:b/>
          <w:bCs/>
        </w:rPr>
        <w:t>Clasificación Administrativa</w:t>
      </w:r>
    </w:p>
    <w:p w14:paraId="65E25C26" w14:textId="77777777" w:rsidR="00635654" w:rsidRPr="00835574" w:rsidRDefault="00635654" w:rsidP="00635654">
      <w:pPr>
        <w:pStyle w:val="Sinespaciado"/>
        <w:jc w:val="both"/>
        <w:rPr>
          <w:b/>
          <w:bCs/>
        </w:rPr>
      </w:pPr>
    </w:p>
    <w:p w14:paraId="422060B2" w14:textId="6F2A5664" w:rsidR="00B17DF0" w:rsidRPr="00835574" w:rsidRDefault="00635654" w:rsidP="00635654">
      <w:pPr>
        <w:pStyle w:val="Sinespaciado"/>
        <w:jc w:val="both"/>
      </w:pPr>
      <w:r w:rsidRPr="00835574">
        <w:t>En la clasificación administrativa se conoce al Ejecutor de gasto o administrador directo de los recursos públicos. Así, esta clasificación responde a la pregunta ¿Quién gasta?, está compuesta por los Poderes Ejecutivo, Legislativo y Judicial, Órganos Autónomos y Municipios.</w:t>
      </w:r>
    </w:p>
    <w:p w14:paraId="2B29CDB7" w14:textId="77777777" w:rsidR="00BD069C" w:rsidRPr="00835574" w:rsidRDefault="00BD069C" w:rsidP="00635654">
      <w:pPr>
        <w:pStyle w:val="Sinespaciado"/>
        <w:jc w:val="both"/>
      </w:pPr>
    </w:p>
    <w:p w14:paraId="0FF9E938" w14:textId="77777777" w:rsidR="00BD069C" w:rsidRPr="00835574" w:rsidRDefault="00BD069C" w:rsidP="00BD069C">
      <w:pPr>
        <w:pStyle w:val="Sinespaciado"/>
        <w:jc w:val="center"/>
        <w:rPr>
          <w:b/>
          <w:bCs/>
        </w:rPr>
      </w:pPr>
      <w:r w:rsidRPr="00835574">
        <w:rPr>
          <w:b/>
          <w:bCs/>
        </w:rPr>
        <w:t>Clasificación Administrativa</w:t>
      </w:r>
    </w:p>
    <w:p w14:paraId="1FC943F0" w14:textId="3BA2EE2F" w:rsidR="00635654" w:rsidRDefault="00BD069C" w:rsidP="00BD069C">
      <w:pPr>
        <w:pStyle w:val="Sinespaciado"/>
        <w:jc w:val="center"/>
        <w:rPr>
          <w:i/>
          <w:iCs/>
        </w:rPr>
      </w:pPr>
      <w:r w:rsidRPr="00835574">
        <w:rPr>
          <w:i/>
          <w:iCs/>
        </w:rPr>
        <w:t>Millones de pesos</w:t>
      </w:r>
    </w:p>
    <w:p w14:paraId="74986061" w14:textId="77777777" w:rsidR="00994CDD" w:rsidRPr="00835574" w:rsidRDefault="00994CDD" w:rsidP="00BD069C">
      <w:pPr>
        <w:pStyle w:val="Sinespaciado"/>
        <w:jc w:val="center"/>
        <w:rPr>
          <w:i/>
          <w:iCs/>
        </w:rPr>
      </w:pPr>
    </w:p>
    <w:tbl>
      <w:tblPr>
        <w:tblW w:w="5000" w:type="pct"/>
        <w:jc w:val="center"/>
        <w:tblCellMar>
          <w:left w:w="70" w:type="dxa"/>
          <w:right w:w="70" w:type="dxa"/>
        </w:tblCellMar>
        <w:tblLook w:val="04A0" w:firstRow="1" w:lastRow="0" w:firstColumn="1" w:lastColumn="0" w:noHBand="0" w:noVBand="1"/>
      </w:tblPr>
      <w:tblGrid>
        <w:gridCol w:w="4842"/>
        <w:gridCol w:w="1172"/>
        <w:gridCol w:w="1172"/>
        <w:gridCol w:w="955"/>
        <w:gridCol w:w="687"/>
      </w:tblGrid>
      <w:tr w:rsidR="00835574" w:rsidRPr="00835574" w14:paraId="2E1EEBF5" w14:textId="77777777" w:rsidTr="00F53BEC">
        <w:trPr>
          <w:trHeight w:hRule="exact" w:val="227"/>
          <w:jc w:val="center"/>
        </w:trPr>
        <w:tc>
          <w:tcPr>
            <w:tcW w:w="2742" w:type="pct"/>
            <w:vMerge w:val="restart"/>
            <w:tcBorders>
              <w:top w:val="single" w:sz="4" w:space="0" w:color="auto"/>
              <w:left w:val="single" w:sz="4" w:space="0" w:color="auto"/>
              <w:bottom w:val="single" w:sz="4" w:space="0" w:color="000000"/>
              <w:right w:val="nil"/>
            </w:tcBorders>
            <w:shd w:val="clear" w:color="auto" w:fill="D9D9D9" w:themeFill="background1" w:themeFillShade="D9"/>
            <w:noWrap/>
            <w:vAlign w:val="center"/>
            <w:hideMark/>
          </w:tcPr>
          <w:p w14:paraId="52303835" w14:textId="77777777" w:rsidR="00635654" w:rsidRPr="00835574" w:rsidRDefault="00635654" w:rsidP="009F17D2">
            <w:pPr>
              <w:pStyle w:val="Sinespaciado"/>
              <w:jc w:val="both"/>
              <w:rPr>
                <w:b/>
                <w:bCs/>
                <w:sz w:val="18"/>
                <w:szCs w:val="18"/>
                <w:lang w:eastAsia="es-MX"/>
              </w:rPr>
            </w:pPr>
            <w:r w:rsidRPr="00835574">
              <w:rPr>
                <w:b/>
                <w:bCs/>
                <w:sz w:val="18"/>
                <w:szCs w:val="18"/>
                <w:lang w:eastAsia="es-MX"/>
              </w:rPr>
              <w:t>Nombre</w:t>
            </w:r>
          </w:p>
        </w:tc>
        <w:tc>
          <w:tcPr>
            <w:tcW w:w="664" w:type="pct"/>
            <w:vMerge w:val="restart"/>
            <w:tcBorders>
              <w:top w:val="single" w:sz="4" w:space="0" w:color="auto"/>
              <w:left w:val="single" w:sz="4" w:space="0" w:color="auto"/>
              <w:bottom w:val="single" w:sz="4" w:space="0" w:color="000000"/>
              <w:right w:val="nil"/>
            </w:tcBorders>
            <w:shd w:val="clear" w:color="auto" w:fill="D9D9D9" w:themeFill="background1" w:themeFillShade="D9"/>
            <w:noWrap/>
            <w:vAlign w:val="center"/>
            <w:hideMark/>
          </w:tcPr>
          <w:p w14:paraId="1EE92365" w14:textId="77777777" w:rsidR="00635654" w:rsidRPr="00835574" w:rsidRDefault="00635654" w:rsidP="009F17D2">
            <w:pPr>
              <w:pStyle w:val="Sinespaciado"/>
              <w:jc w:val="center"/>
              <w:rPr>
                <w:b/>
                <w:bCs/>
                <w:sz w:val="18"/>
                <w:szCs w:val="18"/>
                <w:lang w:eastAsia="es-MX"/>
              </w:rPr>
            </w:pPr>
            <w:r w:rsidRPr="00835574">
              <w:rPr>
                <w:b/>
                <w:bCs/>
                <w:sz w:val="18"/>
                <w:szCs w:val="18"/>
                <w:lang w:eastAsia="es-MX"/>
              </w:rPr>
              <w:t>2022</w:t>
            </w:r>
          </w:p>
        </w:tc>
        <w:tc>
          <w:tcPr>
            <w:tcW w:w="664" w:type="pct"/>
            <w:vMerge w:val="restart"/>
            <w:tcBorders>
              <w:top w:val="single" w:sz="4" w:space="0" w:color="auto"/>
              <w:left w:val="single" w:sz="4" w:space="0" w:color="auto"/>
              <w:bottom w:val="single" w:sz="4" w:space="0" w:color="000000"/>
              <w:right w:val="nil"/>
            </w:tcBorders>
            <w:shd w:val="clear" w:color="auto" w:fill="D9D9D9" w:themeFill="background1" w:themeFillShade="D9"/>
            <w:noWrap/>
            <w:vAlign w:val="center"/>
            <w:hideMark/>
          </w:tcPr>
          <w:p w14:paraId="70FFA0DF" w14:textId="77777777" w:rsidR="00635654" w:rsidRPr="00835574" w:rsidRDefault="00635654" w:rsidP="009F17D2">
            <w:pPr>
              <w:pStyle w:val="Sinespaciado"/>
              <w:jc w:val="center"/>
              <w:rPr>
                <w:b/>
                <w:bCs/>
                <w:sz w:val="18"/>
                <w:szCs w:val="18"/>
                <w:lang w:eastAsia="es-MX"/>
              </w:rPr>
            </w:pPr>
            <w:r w:rsidRPr="00835574">
              <w:rPr>
                <w:b/>
                <w:bCs/>
                <w:sz w:val="18"/>
                <w:szCs w:val="18"/>
                <w:lang w:eastAsia="es-MX"/>
              </w:rPr>
              <w:t>2023</w:t>
            </w:r>
          </w:p>
        </w:tc>
        <w:tc>
          <w:tcPr>
            <w:tcW w:w="930" w:type="pct"/>
            <w:gridSpan w:val="2"/>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19CB7A48" w14:textId="77777777" w:rsidR="00635654" w:rsidRPr="00835574" w:rsidRDefault="00635654" w:rsidP="009F17D2">
            <w:pPr>
              <w:pStyle w:val="Sinespaciado"/>
              <w:jc w:val="center"/>
              <w:rPr>
                <w:b/>
                <w:bCs/>
                <w:sz w:val="18"/>
                <w:szCs w:val="18"/>
                <w:lang w:eastAsia="es-MX"/>
              </w:rPr>
            </w:pPr>
            <w:r w:rsidRPr="00835574">
              <w:rPr>
                <w:b/>
                <w:bCs/>
                <w:sz w:val="18"/>
                <w:szCs w:val="18"/>
                <w:lang w:eastAsia="es-MX"/>
              </w:rPr>
              <w:t>Variación</w:t>
            </w:r>
          </w:p>
        </w:tc>
      </w:tr>
      <w:tr w:rsidR="00835574" w:rsidRPr="00835574" w14:paraId="6CA2F9BA" w14:textId="77777777" w:rsidTr="00F53BEC">
        <w:trPr>
          <w:trHeight w:hRule="exact" w:val="227"/>
          <w:jc w:val="center"/>
        </w:trPr>
        <w:tc>
          <w:tcPr>
            <w:tcW w:w="2742" w:type="pct"/>
            <w:vMerge/>
            <w:tcBorders>
              <w:top w:val="single" w:sz="4" w:space="0" w:color="auto"/>
              <w:left w:val="single" w:sz="4" w:space="0" w:color="auto"/>
              <w:bottom w:val="single" w:sz="4" w:space="0" w:color="000000"/>
              <w:right w:val="nil"/>
            </w:tcBorders>
            <w:vAlign w:val="center"/>
            <w:hideMark/>
          </w:tcPr>
          <w:p w14:paraId="734EDAA3" w14:textId="77777777" w:rsidR="00635654" w:rsidRPr="00835574" w:rsidRDefault="00635654" w:rsidP="009F17D2">
            <w:pPr>
              <w:pStyle w:val="Sinespaciado"/>
              <w:jc w:val="both"/>
              <w:rPr>
                <w:rFonts w:eastAsia="Times New Roman"/>
                <w:b/>
                <w:bCs/>
                <w:sz w:val="18"/>
                <w:szCs w:val="18"/>
                <w:lang w:val="es-ES" w:eastAsia="es-MX"/>
              </w:rPr>
            </w:pPr>
          </w:p>
        </w:tc>
        <w:tc>
          <w:tcPr>
            <w:tcW w:w="664" w:type="pct"/>
            <w:vMerge/>
            <w:tcBorders>
              <w:top w:val="single" w:sz="4" w:space="0" w:color="auto"/>
              <w:left w:val="single" w:sz="4" w:space="0" w:color="auto"/>
              <w:bottom w:val="single" w:sz="4" w:space="0" w:color="000000"/>
              <w:right w:val="nil"/>
            </w:tcBorders>
            <w:vAlign w:val="center"/>
            <w:hideMark/>
          </w:tcPr>
          <w:p w14:paraId="332687BE" w14:textId="77777777" w:rsidR="00635654" w:rsidRPr="00835574" w:rsidRDefault="00635654" w:rsidP="009F17D2">
            <w:pPr>
              <w:pStyle w:val="Sinespaciado"/>
              <w:jc w:val="center"/>
              <w:rPr>
                <w:rFonts w:eastAsia="Times New Roman"/>
                <w:b/>
                <w:bCs/>
                <w:sz w:val="18"/>
                <w:szCs w:val="18"/>
                <w:lang w:val="es-ES" w:eastAsia="es-MX"/>
              </w:rPr>
            </w:pPr>
          </w:p>
        </w:tc>
        <w:tc>
          <w:tcPr>
            <w:tcW w:w="664" w:type="pct"/>
            <w:vMerge/>
            <w:tcBorders>
              <w:top w:val="single" w:sz="4" w:space="0" w:color="auto"/>
              <w:left w:val="single" w:sz="4" w:space="0" w:color="auto"/>
              <w:bottom w:val="single" w:sz="4" w:space="0" w:color="000000"/>
              <w:right w:val="nil"/>
            </w:tcBorders>
            <w:vAlign w:val="center"/>
            <w:hideMark/>
          </w:tcPr>
          <w:p w14:paraId="6832467C" w14:textId="77777777" w:rsidR="00635654" w:rsidRPr="00835574" w:rsidRDefault="00635654" w:rsidP="009F17D2">
            <w:pPr>
              <w:pStyle w:val="Sinespaciado"/>
              <w:jc w:val="center"/>
              <w:rPr>
                <w:rFonts w:eastAsia="Times New Roman"/>
                <w:b/>
                <w:bCs/>
                <w:sz w:val="18"/>
                <w:szCs w:val="18"/>
                <w:lang w:val="es-ES" w:eastAsia="es-MX"/>
              </w:rPr>
            </w:pPr>
          </w:p>
        </w:tc>
        <w:tc>
          <w:tcPr>
            <w:tcW w:w="541" w:type="pct"/>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BC6E14E" w14:textId="77777777" w:rsidR="00635654" w:rsidRPr="00835574" w:rsidRDefault="00635654" w:rsidP="009F17D2">
            <w:pPr>
              <w:pStyle w:val="Sinespaciado"/>
              <w:jc w:val="center"/>
              <w:rPr>
                <w:b/>
                <w:bCs/>
                <w:sz w:val="18"/>
                <w:szCs w:val="18"/>
                <w:lang w:eastAsia="es-MX"/>
              </w:rPr>
            </w:pPr>
            <w:r w:rsidRPr="00835574">
              <w:rPr>
                <w:b/>
                <w:bCs/>
                <w:sz w:val="18"/>
                <w:szCs w:val="18"/>
                <w:lang w:eastAsia="es-MX"/>
              </w:rPr>
              <w:t>$</w:t>
            </w:r>
          </w:p>
        </w:tc>
        <w:tc>
          <w:tcPr>
            <w:tcW w:w="38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BE5A82" w14:textId="77777777" w:rsidR="00635654" w:rsidRPr="00835574" w:rsidRDefault="00635654" w:rsidP="009F17D2">
            <w:pPr>
              <w:pStyle w:val="Sinespaciado"/>
              <w:jc w:val="center"/>
              <w:rPr>
                <w:b/>
                <w:bCs/>
                <w:sz w:val="18"/>
                <w:szCs w:val="18"/>
                <w:lang w:eastAsia="es-MX"/>
              </w:rPr>
            </w:pPr>
            <w:r w:rsidRPr="00835574">
              <w:rPr>
                <w:b/>
                <w:bCs/>
                <w:sz w:val="18"/>
                <w:szCs w:val="18"/>
                <w:lang w:eastAsia="es-MX"/>
              </w:rPr>
              <w:t>%</w:t>
            </w:r>
          </w:p>
        </w:tc>
      </w:tr>
      <w:tr w:rsidR="00835574" w:rsidRPr="00835574" w14:paraId="3D70C132"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43533FDE" w14:textId="77777777" w:rsidR="00635654" w:rsidRPr="00994CDD" w:rsidRDefault="00635654" w:rsidP="009F17D2">
            <w:pPr>
              <w:spacing w:after="0" w:line="256" w:lineRule="auto"/>
              <w:rPr>
                <w:rFonts w:cstheme="minorHAnsi"/>
                <w:sz w:val="20"/>
                <w:szCs w:val="20"/>
                <w:lang w:val="es-ES_tradnl" w:eastAsia="es-MX"/>
              </w:rPr>
            </w:pPr>
            <w:r w:rsidRPr="00994CDD">
              <w:rPr>
                <w:rFonts w:cstheme="minorHAnsi"/>
                <w:sz w:val="20"/>
                <w:szCs w:val="20"/>
                <w:lang w:val="es-ES_tradnl" w:eastAsia="es-MX"/>
              </w:rPr>
              <w:t>Administración Pública Centralizada</w:t>
            </w:r>
          </w:p>
        </w:tc>
        <w:tc>
          <w:tcPr>
            <w:tcW w:w="664" w:type="pct"/>
            <w:tcBorders>
              <w:top w:val="nil"/>
              <w:left w:val="nil"/>
              <w:bottom w:val="nil"/>
              <w:right w:val="single" w:sz="4" w:space="0" w:color="auto"/>
            </w:tcBorders>
            <w:noWrap/>
            <w:hideMark/>
          </w:tcPr>
          <w:p w14:paraId="6BC605AE"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16,511.26 </w:t>
            </w:r>
          </w:p>
        </w:tc>
        <w:tc>
          <w:tcPr>
            <w:tcW w:w="664" w:type="pct"/>
            <w:tcBorders>
              <w:top w:val="nil"/>
              <w:left w:val="nil"/>
              <w:bottom w:val="nil"/>
              <w:right w:val="single" w:sz="4" w:space="0" w:color="auto"/>
            </w:tcBorders>
            <w:noWrap/>
            <w:hideMark/>
          </w:tcPr>
          <w:p w14:paraId="26D4E2D7"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22,306.26 </w:t>
            </w:r>
          </w:p>
        </w:tc>
        <w:tc>
          <w:tcPr>
            <w:tcW w:w="541" w:type="pct"/>
            <w:noWrap/>
            <w:hideMark/>
          </w:tcPr>
          <w:p w14:paraId="500F2B0B"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5,795.00 </w:t>
            </w:r>
          </w:p>
        </w:tc>
        <w:tc>
          <w:tcPr>
            <w:tcW w:w="389" w:type="pct"/>
            <w:tcBorders>
              <w:top w:val="nil"/>
              <w:left w:val="single" w:sz="4" w:space="0" w:color="auto"/>
              <w:bottom w:val="nil"/>
              <w:right w:val="single" w:sz="4" w:space="0" w:color="auto"/>
            </w:tcBorders>
            <w:noWrap/>
            <w:hideMark/>
          </w:tcPr>
          <w:p w14:paraId="70F33623"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35.10 </w:t>
            </w:r>
          </w:p>
        </w:tc>
      </w:tr>
      <w:tr w:rsidR="00835574" w:rsidRPr="00835574" w14:paraId="3C205EB7"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29B064F8" w14:textId="77777777" w:rsidR="00635654" w:rsidRPr="00994CDD" w:rsidRDefault="00635654" w:rsidP="009F17D2">
            <w:pPr>
              <w:spacing w:after="0" w:line="256" w:lineRule="auto"/>
              <w:rPr>
                <w:rFonts w:cstheme="minorHAnsi"/>
                <w:sz w:val="20"/>
                <w:szCs w:val="20"/>
                <w:lang w:val="es-ES_tradnl" w:eastAsia="es-MX"/>
              </w:rPr>
            </w:pPr>
            <w:r w:rsidRPr="00994CDD">
              <w:rPr>
                <w:rFonts w:cstheme="minorHAnsi"/>
                <w:sz w:val="20"/>
                <w:szCs w:val="20"/>
                <w:lang w:val="es-ES_tradnl" w:eastAsia="es-MX"/>
              </w:rPr>
              <w:t>Poder Legislativo</w:t>
            </w:r>
          </w:p>
        </w:tc>
        <w:tc>
          <w:tcPr>
            <w:tcW w:w="664" w:type="pct"/>
            <w:tcBorders>
              <w:top w:val="nil"/>
              <w:left w:val="nil"/>
              <w:bottom w:val="nil"/>
              <w:right w:val="single" w:sz="4" w:space="0" w:color="auto"/>
            </w:tcBorders>
            <w:noWrap/>
            <w:hideMark/>
          </w:tcPr>
          <w:p w14:paraId="6F1E54B5"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542.15 </w:t>
            </w:r>
          </w:p>
        </w:tc>
        <w:tc>
          <w:tcPr>
            <w:tcW w:w="664" w:type="pct"/>
            <w:tcBorders>
              <w:top w:val="nil"/>
              <w:left w:val="nil"/>
              <w:bottom w:val="nil"/>
              <w:right w:val="single" w:sz="4" w:space="0" w:color="auto"/>
            </w:tcBorders>
            <w:noWrap/>
            <w:hideMark/>
          </w:tcPr>
          <w:p w14:paraId="79A4A30E"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578.81 </w:t>
            </w:r>
          </w:p>
        </w:tc>
        <w:tc>
          <w:tcPr>
            <w:tcW w:w="541" w:type="pct"/>
            <w:noWrap/>
            <w:hideMark/>
          </w:tcPr>
          <w:p w14:paraId="3C10414E"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36.66 </w:t>
            </w:r>
          </w:p>
        </w:tc>
        <w:tc>
          <w:tcPr>
            <w:tcW w:w="389" w:type="pct"/>
            <w:tcBorders>
              <w:top w:val="nil"/>
              <w:left w:val="single" w:sz="4" w:space="0" w:color="auto"/>
              <w:bottom w:val="nil"/>
              <w:right w:val="single" w:sz="4" w:space="0" w:color="auto"/>
            </w:tcBorders>
            <w:noWrap/>
            <w:hideMark/>
          </w:tcPr>
          <w:p w14:paraId="56A6127E"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6.76 </w:t>
            </w:r>
          </w:p>
        </w:tc>
      </w:tr>
      <w:tr w:rsidR="00835574" w:rsidRPr="00835574" w14:paraId="1A41D853"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40DE5E62" w14:textId="77777777" w:rsidR="00635654" w:rsidRPr="00994CDD" w:rsidRDefault="00635654" w:rsidP="009F17D2">
            <w:pPr>
              <w:spacing w:after="0" w:line="256" w:lineRule="auto"/>
              <w:rPr>
                <w:rFonts w:cstheme="minorHAnsi"/>
                <w:sz w:val="20"/>
                <w:szCs w:val="20"/>
                <w:lang w:val="es-ES_tradnl" w:eastAsia="es-MX"/>
              </w:rPr>
            </w:pPr>
            <w:r w:rsidRPr="00994CDD">
              <w:rPr>
                <w:rFonts w:cstheme="minorHAnsi"/>
                <w:sz w:val="20"/>
                <w:szCs w:val="20"/>
                <w:lang w:val="es-ES_tradnl" w:eastAsia="es-MX"/>
              </w:rPr>
              <w:t>Poder Judicial</w:t>
            </w:r>
          </w:p>
        </w:tc>
        <w:tc>
          <w:tcPr>
            <w:tcW w:w="664" w:type="pct"/>
            <w:tcBorders>
              <w:top w:val="nil"/>
              <w:left w:val="nil"/>
              <w:bottom w:val="nil"/>
              <w:right w:val="single" w:sz="4" w:space="0" w:color="auto"/>
            </w:tcBorders>
            <w:noWrap/>
            <w:hideMark/>
          </w:tcPr>
          <w:p w14:paraId="2DD7AF84"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1,107.05 </w:t>
            </w:r>
          </w:p>
        </w:tc>
        <w:tc>
          <w:tcPr>
            <w:tcW w:w="664" w:type="pct"/>
            <w:tcBorders>
              <w:top w:val="nil"/>
              <w:left w:val="nil"/>
              <w:bottom w:val="nil"/>
              <w:right w:val="single" w:sz="4" w:space="0" w:color="auto"/>
            </w:tcBorders>
            <w:noWrap/>
            <w:hideMark/>
          </w:tcPr>
          <w:p w14:paraId="46753398"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1,107.81 </w:t>
            </w:r>
          </w:p>
        </w:tc>
        <w:tc>
          <w:tcPr>
            <w:tcW w:w="541" w:type="pct"/>
            <w:noWrap/>
            <w:hideMark/>
          </w:tcPr>
          <w:p w14:paraId="1949237D"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0.76 </w:t>
            </w:r>
          </w:p>
        </w:tc>
        <w:tc>
          <w:tcPr>
            <w:tcW w:w="389" w:type="pct"/>
            <w:tcBorders>
              <w:top w:val="nil"/>
              <w:left w:val="single" w:sz="4" w:space="0" w:color="auto"/>
              <w:bottom w:val="nil"/>
              <w:right w:val="single" w:sz="4" w:space="0" w:color="auto"/>
            </w:tcBorders>
            <w:noWrap/>
            <w:hideMark/>
          </w:tcPr>
          <w:p w14:paraId="25E34103"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0.07 </w:t>
            </w:r>
          </w:p>
        </w:tc>
      </w:tr>
      <w:tr w:rsidR="00835574" w:rsidRPr="00835574" w14:paraId="05867C9A"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6B149F86" w14:textId="77777777" w:rsidR="00635654" w:rsidRPr="00994CDD" w:rsidRDefault="00635654" w:rsidP="009F17D2">
            <w:pPr>
              <w:spacing w:after="0" w:line="256" w:lineRule="auto"/>
              <w:rPr>
                <w:rFonts w:cstheme="minorHAnsi"/>
                <w:sz w:val="20"/>
                <w:szCs w:val="20"/>
                <w:lang w:val="es-ES_tradnl" w:eastAsia="es-MX"/>
              </w:rPr>
            </w:pPr>
            <w:r w:rsidRPr="00994CDD">
              <w:rPr>
                <w:rFonts w:cstheme="minorHAnsi"/>
                <w:sz w:val="20"/>
                <w:szCs w:val="20"/>
                <w:lang w:val="es-ES_tradnl" w:eastAsia="es-MX"/>
              </w:rPr>
              <w:t>Órganos Autónomos</w:t>
            </w:r>
          </w:p>
        </w:tc>
        <w:tc>
          <w:tcPr>
            <w:tcW w:w="664" w:type="pct"/>
            <w:tcBorders>
              <w:top w:val="nil"/>
              <w:left w:val="nil"/>
              <w:bottom w:val="nil"/>
              <w:right w:val="single" w:sz="4" w:space="0" w:color="auto"/>
            </w:tcBorders>
            <w:noWrap/>
            <w:hideMark/>
          </w:tcPr>
          <w:p w14:paraId="1138BA70"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2,874.20 </w:t>
            </w:r>
          </w:p>
        </w:tc>
        <w:tc>
          <w:tcPr>
            <w:tcW w:w="664" w:type="pct"/>
            <w:tcBorders>
              <w:top w:val="nil"/>
              <w:left w:val="nil"/>
              <w:bottom w:val="nil"/>
              <w:right w:val="single" w:sz="4" w:space="0" w:color="auto"/>
            </w:tcBorders>
            <w:noWrap/>
            <w:hideMark/>
          </w:tcPr>
          <w:p w14:paraId="48551DC0"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2,620.99 </w:t>
            </w:r>
          </w:p>
        </w:tc>
        <w:tc>
          <w:tcPr>
            <w:tcW w:w="541" w:type="pct"/>
            <w:noWrap/>
            <w:hideMark/>
          </w:tcPr>
          <w:p w14:paraId="04631809"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-253.21 </w:t>
            </w:r>
          </w:p>
        </w:tc>
        <w:tc>
          <w:tcPr>
            <w:tcW w:w="389" w:type="pct"/>
            <w:tcBorders>
              <w:top w:val="nil"/>
              <w:left w:val="single" w:sz="4" w:space="0" w:color="auto"/>
              <w:bottom w:val="nil"/>
              <w:right w:val="single" w:sz="4" w:space="0" w:color="auto"/>
            </w:tcBorders>
            <w:noWrap/>
            <w:hideMark/>
          </w:tcPr>
          <w:p w14:paraId="689DB71B"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-8.81 </w:t>
            </w:r>
          </w:p>
        </w:tc>
      </w:tr>
      <w:tr w:rsidR="00835574" w:rsidRPr="00835574" w14:paraId="37F35212"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1366C1BE" w14:textId="77777777" w:rsidR="00635654" w:rsidRPr="00994CDD" w:rsidRDefault="00635654" w:rsidP="009F17D2">
            <w:pPr>
              <w:spacing w:after="0" w:line="256" w:lineRule="auto"/>
              <w:rPr>
                <w:rFonts w:cstheme="minorHAnsi"/>
                <w:sz w:val="20"/>
                <w:szCs w:val="20"/>
                <w:lang w:val="es-ES_tradnl" w:eastAsia="es-MX"/>
              </w:rPr>
            </w:pPr>
            <w:r w:rsidRPr="00994CDD">
              <w:rPr>
                <w:rFonts w:cstheme="minorHAnsi"/>
                <w:sz w:val="20"/>
                <w:szCs w:val="20"/>
                <w:lang w:val="es-ES_tradnl" w:eastAsia="es-MX"/>
              </w:rPr>
              <w:t>Organismos Públicos Descentralizados (OPD´S)</w:t>
            </w:r>
          </w:p>
        </w:tc>
        <w:tc>
          <w:tcPr>
            <w:tcW w:w="664" w:type="pct"/>
            <w:tcBorders>
              <w:top w:val="nil"/>
              <w:left w:val="nil"/>
              <w:bottom w:val="nil"/>
              <w:right w:val="single" w:sz="4" w:space="0" w:color="auto"/>
            </w:tcBorders>
            <w:noWrap/>
            <w:hideMark/>
          </w:tcPr>
          <w:p w14:paraId="6823466D"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44,124.29 </w:t>
            </w:r>
          </w:p>
        </w:tc>
        <w:tc>
          <w:tcPr>
            <w:tcW w:w="664" w:type="pct"/>
            <w:tcBorders>
              <w:top w:val="nil"/>
              <w:left w:val="nil"/>
              <w:bottom w:val="nil"/>
              <w:right w:val="single" w:sz="4" w:space="0" w:color="auto"/>
            </w:tcBorders>
            <w:noWrap/>
            <w:hideMark/>
          </w:tcPr>
          <w:p w14:paraId="2C51AA7A"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44,776.19 </w:t>
            </w:r>
          </w:p>
        </w:tc>
        <w:tc>
          <w:tcPr>
            <w:tcW w:w="541" w:type="pct"/>
            <w:noWrap/>
            <w:hideMark/>
          </w:tcPr>
          <w:p w14:paraId="5405CCDB"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651.90 </w:t>
            </w:r>
          </w:p>
        </w:tc>
        <w:tc>
          <w:tcPr>
            <w:tcW w:w="389" w:type="pct"/>
            <w:tcBorders>
              <w:top w:val="nil"/>
              <w:left w:val="single" w:sz="4" w:space="0" w:color="auto"/>
              <w:bottom w:val="nil"/>
              <w:right w:val="single" w:sz="4" w:space="0" w:color="auto"/>
            </w:tcBorders>
            <w:noWrap/>
            <w:hideMark/>
          </w:tcPr>
          <w:p w14:paraId="7D90D2C9"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1.48 </w:t>
            </w:r>
          </w:p>
        </w:tc>
      </w:tr>
      <w:tr w:rsidR="00835574" w:rsidRPr="00835574" w14:paraId="6DBA9EC9"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0CA0497E" w14:textId="77777777" w:rsidR="00635654" w:rsidRPr="00994CDD" w:rsidRDefault="00635654" w:rsidP="009F17D2">
            <w:pPr>
              <w:spacing w:after="0" w:line="256" w:lineRule="auto"/>
              <w:ind w:left="629"/>
              <w:rPr>
                <w:rFonts w:cstheme="minorHAnsi"/>
                <w:sz w:val="18"/>
                <w:szCs w:val="18"/>
                <w:lang w:val="es-ES_tradnl" w:eastAsia="es-MX"/>
              </w:rPr>
            </w:pPr>
            <w:r w:rsidRPr="00994CDD">
              <w:rPr>
                <w:rFonts w:cstheme="minorHAnsi"/>
                <w:sz w:val="18"/>
                <w:szCs w:val="18"/>
                <w:lang w:val="es-ES_tradnl" w:eastAsia="es-MX"/>
              </w:rPr>
              <w:t>Resto de los OPD´s</w:t>
            </w:r>
          </w:p>
        </w:tc>
        <w:tc>
          <w:tcPr>
            <w:tcW w:w="664" w:type="pct"/>
            <w:tcBorders>
              <w:top w:val="nil"/>
              <w:left w:val="nil"/>
              <w:bottom w:val="nil"/>
              <w:right w:val="single" w:sz="4" w:space="0" w:color="auto"/>
            </w:tcBorders>
            <w:noWrap/>
            <w:hideMark/>
          </w:tcPr>
          <w:p w14:paraId="7C302F27"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5,744.06 </w:t>
            </w:r>
          </w:p>
        </w:tc>
        <w:tc>
          <w:tcPr>
            <w:tcW w:w="664" w:type="pct"/>
            <w:tcBorders>
              <w:top w:val="nil"/>
              <w:left w:val="nil"/>
              <w:bottom w:val="nil"/>
              <w:right w:val="single" w:sz="4" w:space="0" w:color="auto"/>
            </w:tcBorders>
            <w:noWrap/>
            <w:hideMark/>
          </w:tcPr>
          <w:p w14:paraId="5F8DD6D7"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6,636.22 </w:t>
            </w:r>
          </w:p>
        </w:tc>
        <w:tc>
          <w:tcPr>
            <w:tcW w:w="541" w:type="pct"/>
            <w:noWrap/>
            <w:hideMark/>
          </w:tcPr>
          <w:p w14:paraId="5F77D0B1"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892.16 </w:t>
            </w:r>
          </w:p>
        </w:tc>
        <w:tc>
          <w:tcPr>
            <w:tcW w:w="389" w:type="pct"/>
            <w:tcBorders>
              <w:top w:val="nil"/>
              <w:left w:val="single" w:sz="4" w:space="0" w:color="auto"/>
              <w:bottom w:val="nil"/>
              <w:right w:val="single" w:sz="4" w:space="0" w:color="auto"/>
            </w:tcBorders>
            <w:noWrap/>
            <w:hideMark/>
          </w:tcPr>
          <w:p w14:paraId="128E074C"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15.53 </w:t>
            </w:r>
          </w:p>
        </w:tc>
      </w:tr>
      <w:tr w:rsidR="00835574" w:rsidRPr="00835574" w14:paraId="29DD6456"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2B6A7D5B" w14:textId="77777777" w:rsidR="00635654" w:rsidRPr="00994CDD" w:rsidRDefault="00635654" w:rsidP="009F17D2">
            <w:pPr>
              <w:spacing w:after="0" w:line="256" w:lineRule="auto"/>
              <w:ind w:left="629"/>
              <w:rPr>
                <w:rFonts w:cstheme="minorHAnsi"/>
                <w:sz w:val="18"/>
                <w:szCs w:val="18"/>
                <w:lang w:val="es-ES_tradnl" w:eastAsia="es-MX"/>
              </w:rPr>
            </w:pPr>
            <w:r w:rsidRPr="00994CDD">
              <w:rPr>
                <w:rFonts w:cstheme="minorHAnsi"/>
                <w:sz w:val="18"/>
                <w:szCs w:val="18"/>
                <w:lang w:val="es-ES_tradnl" w:eastAsia="es-MX"/>
              </w:rPr>
              <w:t>Instituto Estatal de Educación para Adultos</w:t>
            </w:r>
          </w:p>
        </w:tc>
        <w:tc>
          <w:tcPr>
            <w:tcW w:w="664" w:type="pct"/>
            <w:tcBorders>
              <w:top w:val="nil"/>
              <w:left w:val="nil"/>
              <w:bottom w:val="nil"/>
              <w:right w:val="single" w:sz="4" w:space="0" w:color="auto"/>
            </w:tcBorders>
            <w:noWrap/>
            <w:hideMark/>
          </w:tcPr>
          <w:p w14:paraId="2F57DB1C"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174.10 </w:t>
            </w:r>
          </w:p>
        </w:tc>
        <w:tc>
          <w:tcPr>
            <w:tcW w:w="664" w:type="pct"/>
            <w:tcBorders>
              <w:top w:val="nil"/>
              <w:left w:val="nil"/>
              <w:bottom w:val="nil"/>
              <w:right w:val="single" w:sz="4" w:space="0" w:color="auto"/>
            </w:tcBorders>
            <w:noWrap/>
            <w:hideMark/>
          </w:tcPr>
          <w:p w14:paraId="587D8CD9"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184.24 </w:t>
            </w:r>
          </w:p>
        </w:tc>
        <w:tc>
          <w:tcPr>
            <w:tcW w:w="541" w:type="pct"/>
            <w:noWrap/>
            <w:hideMark/>
          </w:tcPr>
          <w:p w14:paraId="63914C34"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10.14 </w:t>
            </w:r>
          </w:p>
        </w:tc>
        <w:tc>
          <w:tcPr>
            <w:tcW w:w="389" w:type="pct"/>
            <w:tcBorders>
              <w:top w:val="nil"/>
              <w:left w:val="single" w:sz="4" w:space="0" w:color="auto"/>
              <w:bottom w:val="nil"/>
              <w:right w:val="single" w:sz="4" w:space="0" w:color="auto"/>
            </w:tcBorders>
            <w:noWrap/>
            <w:hideMark/>
          </w:tcPr>
          <w:p w14:paraId="58254BE5"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5.83 </w:t>
            </w:r>
          </w:p>
        </w:tc>
      </w:tr>
      <w:tr w:rsidR="00835574" w:rsidRPr="00835574" w14:paraId="149AB73D"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2D5F1069" w14:textId="77777777" w:rsidR="00635654" w:rsidRPr="00994CDD" w:rsidRDefault="00635654" w:rsidP="009F17D2">
            <w:pPr>
              <w:spacing w:after="0" w:line="256" w:lineRule="auto"/>
              <w:ind w:left="629"/>
              <w:rPr>
                <w:rFonts w:cstheme="minorHAnsi"/>
                <w:sz w:val="18"/>
                <w:szCs w:val="18"/>
                <w:lang w:val="es-ES_tradnl" w:eastAsia="es-MX"/>
              </w:rPr>
            </w:pPr>
            <w:r w:rsidRPr="00994CDD">
              <w:rPr>
                <w:rFonts w:cstheme="minorHAnsi"/>
                <w:sz w:val="18"/>
                <w:szCs w:val="18"/>
                <w:lang w:val="es-ES_tradnl" w:eastAsia="es-MX"/>
              </w:rPr>
              <w:t>Instituto Estatal de Educación Pública de Oaxaca</w:t>
            </w:r>
          </w:p>
        </w:tc>
        <w:tc>
          <w:tcPr>
            <w:tcW w:w="664" w:type="pct"/>
            <w:tcBorders>
              <w:top w:val="nil"/>
              <w:left w:val="nil"/>
              <w:bottom w:val="nil"/>
              <w:right w:val="single" w:sz="4" w:space="0" w:color="auto"/>
            </w:tcBorders>
            <w:noWrap/>
            <w:hideMark/>
          </w:tcPr>
          <w:p w14:paraId="33054577"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26,179.11 </w:t>
            </w:r>
          </w:p>
        </w:tc>
        <w:tc>
          <w:tcPr>
            <w:tcW w:w="664" w:type="pct"/>
            <w:tcBorders>
              <w:top w:val="nil"/>
              <w:left w:val="nil"/>
              <w:bottom w:val="nil"/>
              <w:right w:val="single" w:sz="4" w:space="0" w:color="auto"/>
            </w:tcBorders>
            <w:noWrap/>
            <w:hideMark/>
          </w:tcPr>
          <w:p w14:paraId="6C46BE58"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28,232.95 </w:t>
            </w:r>
          </w:p>
        </w:tc>
        <w:tc>
          <w:tcPr>
            <w:tcW w:w="541" w:type="pct"/>
            <w:noWrap/>
            <w:hideMark/>
          </w:tcPr>
          <w:p w14:paraId="7101272F"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2,053.85 </w:t>
            </w:r>
          </w:p>
        </w:tc>
        <w:tc>
          <w:tcPr>
            <w:tcW w:w="389" w:type="pct"/>
            <w:tcBorders>
              <w:top w:val="nil"/>
              <w:left w:val="single" w:sz="4" w:space="0" w:color="auto"/>
              <w:bottom w:val="nil"/>
              <w:right w:val="single" w:sz="4" w:space="0" w:color="auto"/>
            </w:tcBorders>
            <w:noWrap/>
            <w:hideMark/>
          </w:tcPr>
          <w:p w14:paraId="54492198"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7.85 </w:t>
            </w:r>
          </w:p>
        </w:tc>
      </w:tr>
      <w:tr w:rsidR="00835574" w:rsidRPr="00835574" w14:paraId="6C5FDB9B"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0E744BAC" w14:textId="77777777" w:rsidR="00635654" w:rsidRPr="00994CDD" w:rsidRDefault="00635654" w:rsidP="009F17D2">
            <w:pPr>
              <w:spacing w:after="0" w:line="256" w:lineRule="auto"/>
              <w:ind w:left="629"/>
              <w:rPr>
                <w:rFonts w:cstheme="minorHAnsi"/>
                <w:sz w:val="18"/>
                <w:szCs w:val="18"/>
                <w:lang w:val="es-ES_tradnl" w:eastAsia="es-MX"/>
              </w:rPr>
            </w:pPr>
            <w:r w:rsidRPr="00994CDD">
              <w:rPr>
                <w:rFonts w:cstheme="minorHAnsi"/>
                <w:sz w:val="18"/>
                <w:szCs w:val="18"/>
                <w:lang w:val="es-ES_tradnl" w:eastAsia="es-MX"/>
              </w:rPr>
              <w:t>Servicios de Salud de Oaxaca</w:t>
            </w:r>
          </w:p>
        </w:tc>
        <w:tc>
          <w:tcPr>
            <w:tcW w:w="664" w:type="pct"/>
            <w:tcBorders>
              <w:top w:val="nil"/>
              <w:left w:val="nil"/>
              <w:bottom w:val="nil"/>
              <w:right w:val="single" w:sz="4" w:space="0" w:color="auto"/>
            </w:tcBorders>
            <w:noWrap/>
            <w:hideMark/>
          </w:tcPr>
          <w:p w14:paraId="1E87B4EB"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12,027.02 </w:t>
            </w:r>
          </w:p>
        </w:tc>
        <w:tc>
          <w:tcPr>
            <w:tcW w:w="664" w:type="pct"/>
            <w:tcBorders>
              <w:top w:val="nil"/>
              <w:left w:val="nil"/>
              <w:bottom w:val="nil"/>
              <w:right w:val="single" w:sz="4" w:space="0" w:color="auto"/>
            </w:tcBorders>
            <w:noWrap/>
            <w:hideMark/>
          </w:tcPr>
          <w:p w14:paraId="57344E06"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 9,722.77 </w:t>
            </w:r>
          </w:p>
        </w:tc>
        <w:tc>
          <w:tcPr>
            <w:tcW w:w="541" w:type="pct"/>
            <w:noWrap/>
            <w:hideMark/>
          </w:tcPr>
          <w:p w14:paraId="0CA20DEE"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-2,304.25 </w:t>
            </w:r>
          </w:p>
        </w:tc>
        <w:tc>
          <w:tcPr>
            <w:tcW w:w="389" w:type="pct"/>
            <w:tcBorders>
              <w:top w:val="nil"/>
              <w:left w:val="single" w:sz="4" w:space="0" w:color="auto"/>
              <w:bottom w:val="nil"/>
              <w:right w:val="single" w:sz="4" w:space="0" w:color="auto"/>
            </w:tcBorders>
            <w:noWrap/>
            <w:hideMark/>
          </w:tcPr>
          <w:p w14:paraId="3FFD1D75" w14:textId="77777777" w:rsidR="00635654" w:rsidRPr="00994CDD" w:rsidRDefault="00635654" w:rsidP="009F17D2">
            <w:pPr>
              <w:pStyle w:val="Sinespaciado"/>
              <w:jc w:val="right"/>
              <w:rPr>
                <w:rFonts w:cstheme="minorHAnsi"/>
                <w:sz w:val="18"/>
                <w:szCs w:val="18"/>
                <w:lang w:eastAsia="es-MX"/>
              </w:rPr>
            </w:pPr>
            <w:r w:rsidRPr="00994CDD">
              <w:rPr>
                <w:rFonts w:cstheme="minorHAnsi"/>
                <w:sz w:val="18"/>
                <w:szCs w:val="18"/>
              </w:rPr>
              <w:t xml:space="preserve">-19.16 </w:t>
            </w:r>
          </w:p>
        </w:tc>
      </w:tr>
      <w:tr w:rsidR="00835574" w:rsidRPr="00835574" w14:paraId="1E1AE368"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3478BBCD" w14:textId="77777777" w:rsidR="00635654" w:rsidRPr="00994CDD" w:rsidRDefault="00635654" w:rsidP="009F17D2">
            <w:pPr>
              <w:spacing w:after="0" w:line="256" w:lineRule="auto"/>
              <w:rPr>
                <w:rFonts w:cstheme="minorHAnsi"/>
                <w:sz w:val="20"/>
                <w:szCs w:val="20"/>
                <w:lang w:val="es-ES_tradnl" w:eastAsia="es-MX"/>
              </w:rPr>
            </w:pPr>
            <w:r w:rsidRPr="00994CDD">
              <w:rPr>
                <w:rFonts w:cstheme="minorHAnsi"/>
                <w:sz w:val="20"/>
                <w:szCs w:val="20"/>
                <w:lang w:val="es-ES_tradnl" w:eastAsia="es-MX"/>
              </w:rPr>
              <w:t>Fideicomisos Públicos</w:t>
            </w:r>
          </w:p>
        </w:tc>
        <w:tc>
          <w:tcPr>
            <w:tcW w:w="664" w:type="pct"/>
            <w:tcBorders>
              <w:top w:val="nil"/>
              <w:left w:val="nil"/>
              <w:bottom w:val="nil"/>
              <w:right w:val="single" w:sz="4" w:space="0" w:color="auto"/>
            </w:tcBorders>
            <w:noWrap/>
            <w:hideMark/>
          </w:tcPr>
          <w:p w14:paraId="16C96FEE"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17.14 </w:t>
            </w:r>
          </w:p>
        </w:tc>
        <w:tc>
          <w:tcPr>
            <w:tcW w:w="664" w:type="pct"/>
            <w:tcBorders>
              <w:top w:val="nil"/>
              <w:left w:val="nil"/>
              <w:bottom w:val="nil"/>
              <w:right w:val="single" w:sz="4" w:space="0" w:color="auto"/>
            </w:tcBorders>
            <w:noWrap/>
            <w:hideMark/>
          </w:tcPr>
          <w:p w14:paraId="48D7C9BD"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23.04 </w:t>
            </w:r>
          </w:p>
        </w:tc>
        <w:tc>
          <w:tcPr>
            <w:tcW w:w="541" w:type="pct"/>
            <w:noWrap/>
            <w:hideMark/>
          </w:tcPr>
          <w:p w14:paraId="19632E0E"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5.89 </w:t>
            </w:r>
          </w:p>
        </w:tc>
        <w:tc>
          <w:tcPr>
            <w:tcW w:w="389" w:type="pct"/>
            <w:tcBorders>
              <w:top w:val="nil"/>
              <w:left w:val="single" w:sz="4" w:space="0" w:color="auto"/>
              <w:bottom w:val="nil"/>
              <w:right w:val="single" w:sz="4" w:space="0" w:color="auto"/>
            </w:tcBorders>
            <w:noWrap/>
            <w:hideMark/>
          </w:tcPr>
          <w:p w14:paraId="0CEA9320"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34.38 </w:t>
            </w:r>
          </w:p>
        </w:tc>
      </w:tr>
      <w:tr w:rsidR="00835574" w:rsidRPr="00835574" w14:paraId="6F721385"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0892C9C7" w14:textId="77777777" w:rsidR="00635654" w:rsidRPr="00994CDD" w:rsidRDefault="00635654" w:rsidP="009F17D2">
            <w:pPr>
              <w:spacing w:after="0" w:line="256" w:lineRule="auto"/>
              <w:rPr>
                <w:rFonts w:cstheme="minorHAnsi"/>
                <w:sz w:val="20"/>
                <w:szCs w:val="20"/>
                <w:lang w:val="es-ES_tradnl" w:eastAsia="es-MX"/>
              </w:rPr>
            </w:pPr>
            <w:r w:rsidRPr="00994CDD">
              <w:rPr>
                <w:rFonts w:cstheme="minorHAnsi"/>
                <w:sz w:val="20"/>
                <w:szCs w:val="20"/>
                <w:lang w:val="es-ES_tradnl" w:eastAsia="es-MX"/>
              </w:rPr>
              <w:t>Instituciones Públicas de Seguridad Social</w:t>
            </w:r>
          </w:p>
        </w:tc>
        <w:tc>
          <w:tcPr>
            <w:tcW w:w="664" w:type="pct"/>
            <w:tcBorders>
              <w:top w:val="nil"/>
              <w:left w:val="nil"/>
              <w:bottom w:val="nil"/>
              <w:right w:val="single" w:sz="4" w:space="0" w:color="auto"/>
            </w:tcBorders>
            <w:noWrap/>
            <w:hideMark/>
          </w:tcPr>
          <w:p w14:paraId="0253853A"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590.41 </w:t>
            </w:r>
          </w:p>
        </w:tc>
        <w:tc>
          <w:tcPr>
            <w:tcW w:w="664" w:type="pct"/>
            <w:tcBorders>
              <w:top w:val="nil"/>
              <w:left w:val="nil"/>
              <w:bottom w:val="nil"/>
              <w:right w:val="single" w:sz="4" w:space="0" w:color="auto"/>
            </w:tcBorders>
            <w:noWrap/>
            <w:hideMark/>
          </w:tcPr>
          <w:p w14:paraId="592AC2CF"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837.06 </w:t>
            </w:r>
          </w:p>
        </w:tc>
        <w:tc>
          <w:tcPr>
            <w:tcW w:w="541" w:type="pct"/>
            <w:noWrap/>
            <w:hideMark/>
          </w:tcPr>
          <w:p w14:paraId="588056A4"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246.65 </w:t>
            </w:r>
          </w:p>
        </w:tc>
        <w:tc>
          <w:tcPr>
            <w:tcW w:w="389" w:type="pct"/>
            <w:tcBorders>
              <w:top w:val="nil"/>
              <w:left w:val="single" w:sz="4" w:space="0" w:color="auto"/>
              <w:bottom w:val="nil"/>
              <w:right w:val="single" w:sz="4" w:space="0" w:color="auto"/>
            </w:tcBorders>
            <w:noWrap/>
            <w:hideMark/>
          </w:tcPr>
          <w:p w14:paraId="4E88C172"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41.78 </w:t>
            </w:r>
          </w:p>
        </w:tc>
      </w:tr>
      <w:tr w:rsidR="00835574" w:rsidRPr="00835574" w14:paraId="0B2DC7F3" w14:textId="77777777" w:rsidTr="009F17D2">
        <w:trPr>
          <w:trHeight w:hRule="exact" w:val="227"/>
          <w:jc w:val="center"/>
        </w:trPr>
        <w:tc>
          <w:tcPr>
            <w:tcW w:w="2742" w:type="pct"/>
            <w:tcBorders>
              <w:top w:val="nil"/>
              <w:left w:val="single" w:sz="4" w:space="0" w:color="auto"/>
              <w:bottom w:val="nil"/>
              <w:right w:val="single" w:sz="4" w:space="0" w:color="auto"/>
            </w:tcBorders>
            <w:noWrap/>
            <w:vAlign w:val="center"/>
            <w:hideMark/>
          </w:tcPr>
          <w:p w14:paraId="0663BEBF" w14:textId="77777777" w:rsidR="00635654" w:rsidRPr="00994CDD" w:rsidRDefault="00635654" w:rsidP="009F17D2">
            <w:pPr>
              <w:spacing w:after="0" w:line="256" w:lineRule="auto"/>
              <w:rPr>
                <w:rFonts w:cstheme="minorHAnsi"/>
                <w:sz w:val="20"/>
                <w:szCs w:val="20"/>
                <w:lang w:val="es-ES_tradnl" w:eastAsia="es-MX"/>
              </w:rPr>
            </w:pPr>
            <w:r w:rsidRPr="00994CDD">
              <w:rPr>
                <w:rFonts w:cstheme="minorHAnsi"/>
                <w:sz w:val="20"/>
                <w:szCs w:val="20"/>
                <w:lang w:val="es-ES_tradnl" w:eastAsia="es-MX"/>
              </w:rPr>
              <w:t>Municipios</w:t>
            </w:r>
          </w:p>
        </w:tc>
        <w:tc>
          <w:tcPr>
            <w:tcW w:w="664" w:type="pct"/>
            <w:tcBorders>
              <w:top w:val="nil"/>
              <w:left w:val="nil"/>
              <w:bottom w:val="nil"/>
              <w:right w:val="single" w:sz="4" w:space="0" w:color="auto"/>
            </w:tcBorders>
            <w:noWrap/>
            <w:hideMark/>
          </w:tcPr>
          <w:p w14:paraId="3B994861"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17,041.70 </w:t>
            </w:r>
          </w:p>
        </w:tc>
        <w:tc>
          <w:tcPr>
            <w:tcW w:w="664" w:type="pct"/>
            <w:tcBorders>
              <w:top w:val="nil"/>
              <w:left w:val="nil"/>
              <w:bottom w:val="nil"/>
              <w:right w:val="single" w:sz="4" w:space="0" w:color="auto"/>
            </w:tcBorders>
            <w:noWrap/>
            <w:hideMark/>
          </w:tcPr>
          <w:p w14:paraId="027A846A"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19,979.32 </w:t>
            </w:r>
          </w:p>
        </w:tc>
        <w:tc>
          <w:tcPr>
            <w:tcW w:w="541" w:type="pct"/>
            <w:tcBorders>
              <w:top w:val="nil"/>
              <w:left w:val="nil"/>
              <w:bottom w:val="single" w:sz="4" w:space="0" w:color="auto"/>
              <w:right w:val="nil"/>
            </w:tcBorders>
            <w:noWrap/>
            <w:hideMark/>
          </w:tcPr>
          <w:p w14:paraId="31367B73"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2,937.63 </w:t>
            </w:r>
          </w:p>
        </w:tc>
        <w:tc>
          <w:tcPr>
            <w:tcW w:w="389" w:type="pct"/>
            <w:tcBorders>
              <w:top w:val="nil"/>
              <w:left w:val="single" w:sz="4" w:space="0" w:color="auto"/>
              <w:bottom w:val="single" w:sz="4" w:space="0" w:color="auto"/>
              <w:right w:val="single" w:sz="4" w:space="0" w:color="auto"/>
            </w:tcBorders>
            <w:noWrap/>
            <w:hideMark/>
          </w:tcPr>
          <w:p w14:paraId="122AB350" w14:textId="77777777" w:rsidR="00635654" w:rsidRPr="00994CDD" w:rsidRDefault="00635654" w:rsidP="009F17D2">
            <w:pPr>
              <w:pStyle w:val="Sinespaciado"/>
              <w:jc w:val="right"/>
              <w:rPr>
                <w:rFonts w:cstheme="minorHAnsi"/>
                <w:sz w:val="20"/>
                <w:szCs w:val="20"/>
                <w:lang w:eastAsia="es-MX"/>
              </w:rPr>
            </w:pPr>
            <w:r w:rsidRPr="00994CDD">
              <w:rPr>
                <w:rFonts w:cstheme="minorHAnsi"/>
                <w:sz w:val="20"/>
                <w:szCs w:val="20"/>
              </w:rPr>
              <w:t xml:space="preserve"> 17.24 </w:t>
            </w:r>
          </w:p>
        </w:tc>
      </w:tr>
      <w:tr w:rsidR="00835574" w:rsidRPr="00835574" w14:paraId="05DC76A1" w14:textId="77777777" w:rsidTr="009F17D2">
        <w:trPr>
          <w:trHeight w:hRule="exact" w:val="227"/>
          <w:jc w:val="center"/>
        </w:trPr>
        <w:tc>
          <w:tcPr>
            <w:tcW w:w="2742"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765C7E7B" w14:textId="77777777" w:rsidR="00635654" w:rsidRPr="00994CDD" w:rsidRDefault="00635654" w:rsidP="009F17D2">
            <w:pPr>
              <w:pStyle w:val="Sinespaciado"/>
              <w:jc w:val="both"/>
              <w:rPr>
                <w:rFonts w:cstheme="minorHAnsi"/>
                <w:b/>
                <w:bCs/>
                <w:sz w:val="20"/>
                <w:szCs w:val="20"/>
                <w:lang w:eastAsia="es-MX"/>
              </w:rPr>
            </w:pPr>
            <w:r w:rsidRPr="00994CDD">
              <w:rPr>
                <w:rFonts w:cstheme="minorHAnsi"/>
                <w:b/>
                <w:bCs/>
                <w:sz w:val="20"/>
                <w:szCs w:val="20"/>
                <w:lang w:eastAsia="es-MX"/>
              </w:rPr>
              <w:t>Total</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56D2048" w14:textId="77777777" w:rsidR="00635654" w:rsidRPr="00994CDD" w:rsidRDefault="00635654" w:rsidP="009F17D2">
            <w:pPr>
              <w:pStyle w:val="Sinespaciado"/>
              <w:jc w:val="right"/>
              <w:rPr>
                <w:rFonts w:cstheme="minorHAnsi"/>
                <w:b/>
                <w:bCs/>
                <w:sz w:val="20"/>
                <w:szCs w:val="20"/>
                <w:lang w:eastAsia="es-MX"/>
              </w:rPr>
            </w:pPr>
            <w:r w:rsidRPr="00994CDD">
              <w:rPr>
                <w:rFonts w:cstheme="minorHAnsi"/>
                <w:b/>
                <w:bCs/>
                <w:sz w:val="20"/>
                <w:szCs w:val="20"/>
              </w:rPr>
              <w:t xml:space="preserve"> 82,808.20 </w:t>
            </w:r>
          </w:p>
        </w:tc>
        <w:tc>
          <w:tcPr>
            <w:tcW w:w="664" w:type="pct"/>
            <w:tcBorders>
              <w:top w:val="single" w:sz="4" w:space="0" w:color="auto"/>
              <w:left w:val="nil"/>
              <w:bottom w:val="single" w:sz="4" w:space="0" w:color="auto"/>
              <w:right w:val="single" w:sz="4" w:space="0" w:color="auto"/>
            </w:tcBorders>
            <w:shd w:val="clear" w:color="auto" w:fill="D9D9D9" w:themeFill="background1" w:themeFillShade="D9"/>
            <w:noWrap/>
            <w:hideMark/>
          </w:tcPr>
          <w:p w14:paraId="567C3DB3" w14:textId="77777777" w:rsidR="00635654" w:rsidRPr="00994CDD" w:rsidRDefault="00635654" w:rsidP="009F17D2">
            <w:pPr>
              <w:pStyle w:val="Sinespaciado"/>
              <w:jc w:val="right"/>
              <w:rPr>
                <w:rFonts w:cstheme="minorHAnsi"/>
                <w:b/>
                <w:bCs/>
                <w:sz w:val="20"/>
                <w:szCs w:val="20"/>
                <w:lang w:eastAsia="es-MX"/>
              </w:rPr>
            </w:pPr>
            <w:r w:rsidRPr="00994CDD">
              <w:rPr>
                <w:rFonts w:cstheme="minorHAnsi"/>
                <w:b/>
                <w:bCs/>
                <w:sz w:val="20"/>
                <w:szCs w:val="20"/>
              </w:rPr>
              <w:t xml:space="preserve"> 92,229.48 </w:t>
            </w:r>
          </w:p>
        </w:tc>
        <w:tc>
          <w:tcPr>
            <w:tcW w:w="541" w:type="pct"/>
            <w:tcBorders>
              <w:top w:val="nil"/>
              <w:left w:val="nil"/>
              <w:bottom w:val="single" w:sz="4" w:space="0" w:color="auto"/>
              <w:right w:val="single" w:sz="4" w:space="0" w:color="auto"/>
            </w:tcBorders>
            <w:shd w:val="clear" w:color="auto" w:fill="D9D9D9" w:themeFill="background1" w:themeFillShade="D9"/>
            <w:noWrap/>
            <w:hideMark/>
          </w:tcPr>
          <w:p w14:paraId="7757EA2B" w14:textId="77777777" w:rsidR="00635654" w:rsidRPr="00994CDD" w:rsidRDefault="00635654" w:rsidP="009F17D2">
            <w:pPr>
              <w:pStyle w:val="Sinespaciado"/>
              <w:jc w:val="right"/>
              <w:rPr>
                <w:rFonts w:cstheme="minorHAnsi"/>
                <w:b/>
                <w:bCs/>
                <w:sz w:val="20"/>
                <w:szCs w:val="20"/>
                <w:lang w:eastAsia="es-MX"/>
              </w:rPr>
            </w:pPr>
            <w:r w:rsidRPr="00994CDD">
              <w:rPr>
                <w:rFonts w:cstheme="minorHAnsi"/>
                <w:b/>
                <w:bCs/>
                <w:sz w:val="20"/>
                <w:szCs w:val="20"/>
              </w:rPr>
              <w:t xml:space="preserve"> 9,421.28 </w:t>
            </w:r>
          </w:p>
        </w:tc>
        <w:tc>
          <w:tcPr>
            <w:tcW w:w="389" w:type="pct"/>
            <w:tcBorders>
              <w:top w:val="nil"/>
              <w:left w:val="nil"/>
              <w:bottom w:val="single" w:sz="4" w:space="0" w:color="auto"/>
              <w:right w:val="single" w:sz="4" w:space="0" w:color="auto"/>
            </w:tcBorders>
            <w:shd w:val="clear" w:color="auto" w:fill="D9D9D9" w:themeFill="background1" w:themeFillShade="D9"/>
            <w:noWrap/>
            <w:hideMark/>
          </w:tcPr>
          <w:p w14:paraId="02BF7447" w14:textId="77777777" w:rsidR="00635654" w:rsidRPr="00994CDD" w:rsidRDefault="00635654" w:rsidP="009F17D2">
            <w:pPr>
              <w:pStyle w:val="Sinespaciado"/>
              <w:jc w:val="right"/>
              <w:rPr>
                <w:rFonts w:cstheme="minorHAnsi"/>
                <w:b/>
                <w:bCs/>
                <w:sz w:val="20"/>
                <w:szCs w:val="20"/>
                <w:lang w:eastAsia="es-MX"/>
              </w:rPr>
            </w:pPr>
            <w:r w:rsidRPr="00994CDD">
              <w:rPr>
                <w:rFonts w:cstheme="minorHAnsi"/>
                <w:b/>
                <w:bCs/>
                <w:sz w:val="20"/>
                <w:szCs w:val="20"/>
              </w:rPr>
              <w:t xml:space="preserve"> 11.38 </w:t>
            </w:r>
          </w:p>
        </w:tc>
      </w:tr>
    </w:tbl>
    <w:p w14:paraId="75BF9FC1" w14:textId="77777777" w:rsidR="00635654" w:rsidRPr="00994CDD" w:rsidRDefault="00635654" w:rsidP="00635654">
      <w:pPr>
        <w:rPr>
          <w:rFonts w:eastAsia="Times New Roman" w:cstheme="minorHAnsi"/>
          <w:sz w:val="18"/>
          <w:szCs w:val="18"/>
          <w:lang w:val="es-ES" w:eastAsia="es-ES"/>
        </w:rPr>
      </w:pPr>
      <w:r w:rsidRPr="00994CDD">
        <w:rPr>
          <w:rFonts w:cstheme="minorHAnsi"/>
          <w:b/>
          <w:bCs/>
          <w:sz w:val="18"/>
          <w:szCs w:val="18"/>
        </w:rPr>
        <w:t>Fuente:</w:t>
      </w:r>
      <w:r w:rsidRPr="00994CDD">
        <w:rPr>
          <w:rFonts w:cstheme="minorHAnsi"/>
          <w:sz w:val="18"/>
          <w:szCs w:val="18"/>
        </w:rPr>
        <w:t xml:space="preserve"> Secretaría de Finanzas.</w:t>
      </w:r>
    </w:p>
    <w:p w14:paraId="409F3BD0" w14:textId="4BC41C1D" w:rsidR="00635654" w:rsidRPr="00835574" w:rsidRDefault="00635654" w:rsidP="000A2E2C">
      <w:pPr>
        <w:jc w:val="center"/>
        <w:rPr>
          <w:rFonts w:eastAsia="Calibri" w:cstheme="minorHAnsi"/>
          <w:b/>
          <w:bCs/>
          <w:i/>
          <w:iCs/>
          <w:lang w:eastAsia="es-MX" w:bidi="es-MX"/>
        </w:rPr>
      </w:pPr>
      <w:r w:rsidRPr="00835574">
        <w:rPr>
          <w:rFonts w:cstheme="minorHAnsi"/>
          <w:b/>
          <w:bCs/>
          <w:i/>
          <w:iCs/>
        </w:rPr>
        <w:t>Clasificación Administrativa</w:t>
      </w:r>
    </w:p>
    <w:p w14:paraId="37C66724" w14:textId="77777777" w:rsidR="00635654" w:rsidRPr="00835574" w:rsidRDefault="00635654" w:rsidP="00635654">
      <w:pPr>
        <w:pStyle w:val="Sinespaciado"/>
        <w:jc w:val="both"/>
        <w:rPr>
          <w:b/>
          <w:bCs/>
        </w:rPr>
      </w:pPr>
    </w:p>
    <w:p w14:paraId="516F9BFB" w14:textId="77777777" w:rsidR="00635654" w:rsidRPr="00835574" w:rsidRDefault="00635654" w:rsidP="00635654">
      <w:pPr>
        <w:pStyle w:val="Sinespaciado"/>
        <w:jc w:val="both"/>
        <w:rPr>
          <w:b/>
          <w:bCs/>
        </w:rPr>
      </w:pPr>
      <w:r w:rsidRPr="00835574">
        <w:rPr>
          <w:noProof/>
          <w:lang w:eastAsia="es-MX"/>
        </w:rPr>
        <w:drawing>
          <wp:inline distT="0" distB="0" distL="0" distR="0" wp14:anchorId="1F5938DC" wp14:editId="690E9F04">
            <wp:extent cx="5612130" cy="3644900"/>
            <wp:effectExtent l="0" t="0" r="0" b="0"/>
            <wp:docPr id="15" name="Gráfico 15">
              <a:extLst xmlns:a="http://schemas.openxmlformats.org/drawingml/2006/main">
                <a:ext uri="{FF2B5EF4-FFF2-40B4-BE49-F238E27FC236}">
                  <a16:creationId xmlns:a16="http://schemas.microsoft.com/office/drawing/2014/main" id="{B0EF492A-7F71-4B6D-BA43-57149B6B1B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BFC619" w14:textId="77777777" w:rsidR="00635654" w:rsidRPr="00994CDD" w:rsidRDefault="00635654" w:rsidP="00994CDD">
      <w:pPr>
        <w:pStyle w:val="Sinespaciado"/>
        <w:ind w:firstLine="708"/>
        <w:jc w:val="both"/>
        <w:rPr>
          <w:sz w:val="18"/>
          <w:szCs w:val="18"/>
        </w:rPr>
      </w:pPr>
      <w:r w:rsidRPr="00994CDD">
        <w:rPr>
          <w:sz w:val="18"/>
          <w:szCs w:val="18"/>
        </w:rPr>
        <w:t>Fuente: Secretaría de Finanzas</w:t>
      </w:r>
    </w:p>
    <w:p w14:paraId="751F85B8" w14:textId="77777777" w:rsidR="00635654" w:rsidRPr="00835574" w:rsidRDefault="00635654" w:rsidP="00635654">
      <w:pPr>
        <w:pStyle w:val="Sinespaciado"/>
        <w:jc w:val="both"/>
      </w:pPr>
    </w:p>
    <w:p w14:paraId="5559DF79" w14:textId="77777777" w:rsidR="00635654" w:rsidRPr="00835574" w:rsidRDefault="00635654" w:rsidP="00635654">
      <w:pPr>
        <w:pStyle w:val="Sinespaciado"/>
        <w:jc w:val="both"/>
      </w:pPr>
      <w:r w:rsidRPr="00835574">
        <w:lastRenderedPageBreak/>
        <w:t>Para el ejercicio fiscal 2023 se destinan 1,107.81 mdp al Poder Judicial, 0.07 por ciento más con respecto al ejercicio fiscal inmediato anterior, con esta acción se busca fortalecer las actividades de impartición de justicia, con la finalidad de garantizar el estado de derecho en el territorio estatal.</w:t>
      </w:r>
    </w:p>
    <w:p w14:paraId="73DF1A11" w14:textId="77777777" w:rsidR="00635654" w:rsidRPr="00835574" w:rsidRDefault="00635654" w:rsidP="00635654">
      <w:pPr>
        <w:pStyle w:val="Sinespaciado"/>
        <w:jc w:val="both"/>
      </w:pPr>
    </w:p>
    <w:p w14:paraId="50F7FAB5" w14:textId="77777777" w:rsidR="00635654" w:rsidRPr="00835574" w:rsidRDefault="00635654" w:rsidP="00635654">
      <w:pPr>
        <w:pStyle w:val="Sinespaciado"/>
        <w:jc w:val="both"/>
      </w:pPr>
      <w:r w:rsidRPr="00835574">
        <w:t>El presupuesto destinado a los Órganos Autónomos disminuye en un 8.81 por ciento con respecto al año 2022, siendo el Instituto Estatal Electoral y de Participación Ciudadana de Oaxaca quien presenta dicha disminución, lo anterior por el ajuste presupuestario realizado a los gastos inherentes del proceso electoral 2022.</w:t>
      </w:r>
    </w:p>
    <w:p w14:paraId="5459C765" w14:textId="77777777" w:rsidR="00635654" w:rsidRPr="00835574" w:rsidRDefault="00635654" w:rsidP="00635654">
      <w:pPr>
        <w:pStyle w:val="Sinespaciado"/>
        <w:jc w:val="both"/>
        <w:rPr>
          <w:highlight w:val="yellow"/>
        </w:rPr>
      </w:pPr>
    </w:p>
    <w:p w14:paraId="13435F23" w14:textId="40B01CE4" w:rsidR="00635654" w:rsidRPr="00835574" w:rsidRDefault="00635654" w:rsidP="00635654">
      <w:pPr>
        <w:pStyle w:val="Sinespaciado"/>
        <w:jc w:val="both"/>
      </w:pPr>
      <w:r w:rsidRPr="00835574">
        <w:t>Con respecto a los OPD´s, para el ejercicio fiscal 2023 se destinan 44,776.1</w:t>
      </w:r>
      <w:r w:rsidR="00DD1A79">
        <w:t>9</w:t>
      </w:r>
      <w:r w:rsidRPr="00835574">
        <w:t xml:space="preserve"> mdp; de los cuales 38,139.9</w:t>
      </w:r>
      <w:r w:rsidR="00DD1A79">
        <w:t>7</w:t>
      </w:r>
      <w:r w:rsidRPr="00835574">
        <w:t xml:space="preserve"> mdp (85.</w:t>
      </w:r>
      <w:r w:rsidR="00DD1A79">
        <w:t>18</w:t>
      </w:r>
      <w:r w:rsidRPr="00835574">
        <w:t xml:space="preserve"> por ciento) corresponden</w:t>
      </w:r>
      <w:r w:rsidR="00782124">
        <w:t xml:space="preserve"> según lo siguiente:</w:t>
      </w:r>
      <w:r w:rsidRPr="00835574">
        <w:t xml:space="preserve"> </w:t>
      </w:r>
      <w:r w:rsidR="00782124">
        <w:t>el</w:t>
      </w:r>
      <w:r w:rsidRPr="00835574">
        <w:t xml:space="preserve"> presupuesto asignado al Instituto Estatal de Educación para Adultos (184.24 mdp), al Instituto Estatal de Educación Pública de Oaxaca (28,232.95 mdp) y a los Servicios de Salud de Oaxaca (9,722.77 mdp).</w:t>
      </w:r>
    </w:p>
    <w:p w14:paraId="1AA57558" w14:textId="77777777" w:rsidR="00635654" w:rsidRPr="00835574" w:rsidRDefault="00635654" w:rsidP="00635654">
      <w:pPr>
        <w:pStyle w:val="Sinespaciado"/>
        <w:jc w:val="both"/>
      </w:pPr>
    </w:p>
    <w:p w14:paraId="58936A36" w14:textId="77777777" w:rsidR="00635654" w:rsidRPr="00835574" w:rsidRDefault="00635654" w:rsidP="00635654">
      <w:pPr>
        <w:pStyle w:val="Sinespaciado"/>
        <w:jc w:val="both"/>
      </w:pPr>
      <w:r w:rsidRPr="00835574">
        <w:t xml:space="preserve">El presupuesto asignado a los Servicios de Salud de Oaxaca (SSO) presenta una disminución de 2,304.24 mdp con respecto al ejercicio fiscal 2022, sin embargo, es importante precisar que dicha disminución deriva de que para el ejercicio fiscal 2023 ya no se destinarán recursos adicionales para el saneamiento de las obligaciones fiscales de los SSO. </w:t>
      </w:r>
    </w:p>
    <w:p w14:paraId="2A5E9121" w14:textId="77777777" w:rsidR="00635654" w:rsidRPr="00835574" w:rsidRDefault="00635654" w:rsidP="00635654">
      <w:pPr>
        <w:pStyle w:val="Sinespaciado"/>
        <w:jc w:val="both"/>
      </w:pPr>
    </w:p>
    <w:p w14:paraId="08F26DF7" w14:textId="77777777" w:rsidR="00635654" w:rsidRPr="00835574" w:rsidRDefault="00635654" w:rsidP="00635654">
      <w:pPr>
        <w:pStyle w:val="Sinespaciado"/>
        <w:jc w:val="both"/>
      </w:pPr>
      <w:r w:rsidRPr="00835574">
        <w:t>Es importante precisar que, para el ejercicio fiscal 2023 se agrega un Ejecutor de gasto con respecto al ejercicio fiscal 2022, según lo siguiente:</w:t>
      </w:r>
    </w:p>
    <w:p w14:paraId="57716170" w14:textId="77777777" w:rsidR="00635654" w:rsidRPr="00835574" w:rsidRDefault="00635654" w:rsidP="00635654">
      <w:pPr>
        <w:pStyle w:val="Sinespaciado"/>
        <w:jc w:val="both"/>
      </w:pPr>
    </w:p>
    <w:tbl>
      <w:tblPr>
        <w:tblW w:w="0" w:type="auto"/>
        <w:jc w:val="center"/>
        <w:tblLook w:val="04A0" w:firstRow="1" w:lastRow="0" w:firstColumn="1" w:lastColumn="0" w:noHBand="0" w:noVBand="1"/>
      </w:tblPr>
      <w:tblGrid>
        <w:gridCol w:w="5746"/>
        <w:gridCol w:w="2250"/>
      </w:tblGrid>
      <w:tr w:rsidR="00835574" w:rsidRPr="00835574" w14:paraId="28BD9BD7" w14:textId="77777777" w:rsidTr="009F17D2">
        <w:trPr>
          <w:jc w:val="center"/>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B3F52F" w14:textId="77777777" w:rsidR="00635654" w:rsidRPr="00835574" w:rsidRDefault="00635654" w:rsidP="00647BAD">
            <w:pPr>
              <w:pStyle w:val="Sinespaciado"/>
              <w:jc w:val="center"/>
              <w:rPr>
                <w:b/>
                <w:bCs/>
              </w:rPr>
            </w:pPr>
            <w:r w:rsidRPr="00835574">
              <w:rPr>
                <w:b/>
                <w:bCs/>
              </w:rPr>
              <w:t>Ejecutor de gasto</w:t>
            </w:r>
          </w:p>
        </w:tc>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9D1CA58" w14:textId="77777777" w:rsidR="00635654" w:rsidRPr="00835574" w:rsidRDefault="00635654" w:rsidP="00647BAD">
            <w:pPr>
              <w:pStyle w:val="Sinespaciado"/>
              <w:jc w:val="center"/>
              <w:rPr>
                <w:b/>
                <w:bCs/>
              </w:rPr>
            </w:pPr>
            <w:r w:rsidRPr="00835574">
              <w:rPr>
                <w:b/>
                <w:bCs/>
              </w:rPr>
              <w:t>Presupuesto Asignado</w:t>
            </w:r>
          </w:p>
          <w:p w14:paraId="204C4346" w14:textId="77777777" w:rsidR="00635654" w:rsidRPr="00835574" w:rsidRDefault="00635654" w:rsidP="00647BAD">
            <w:pPr>
              <w:pStyle w:val="Sinespaciado"/>
              <w:jc w:val="center"/>
              <w:rPr>
                <w:b/>
                <w:bCs/>
              </w:rPr>
            </w:pPr>
            <w:r w:rsidRPr="00835574">
              <w:rPr>
                <w:b/>
                <w:bCs/>
              </w:rPr>
              <w:t>(pesos)</w:t>
            </w:r>
          </w:p>
        </w:tc>
      </w:tr>
      <w:tr w:rsidR="00635654" w:rsidRPr="00835574" w14:paraId="05917912" w14:textId="77777777" w:rsidTr="009F17D2">
        <w:trPr>
          <w:trHeight w:val="1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103E8E" w14:textId="77777777" w:rsidR="00635654" w:rsidRPr="00835574" w:rsidRDefault="00635654" w:rsidP="00647BAD">
            <w:pPr>
              <w:pStyle w:val="Sinespaciado"/>
              <w:jc w:val="center"/>
              <w:rPr>
                <w:bCs/>
              </w:rPr>
            </w:pPr>
            <w:r w:rsidRPr="00835574">
              <w:rPr>
                <w:bCs/>
              </w:rPr>
              <w:t>Procuraduría de Protección al Ambiente del Estado de Oaxaca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33C90F2" w14:textId="77777777" w:rsidR="00635654" w:rsidRPr="00835574" w:rsidRDefault="00635654" w:rsidP="00647BAD">
            <w:pPr>
              <w:pStyle w:val="Sinespaciado"/>
              <w:jc w:val="center"/>
            </w:pPr>
            <w:r w:rsidRPr="00835574">
              <w:t>4,681,660.68</w:t>
            </w:r>
          </w:p>
        </w:tc>
      </w:tr>
    </w:tbl>
    <w:p w14:paraId="38DE6342" w14:textId="77777777" w:rsidR="00635654" w:rsidRPr="00835574" w:rsidRDefault="00635654" w:rsidP="00635654">
      <w:pPr>
        <w:pStyle w:val="Sinespaciado"/>
        <w:jc w:val="both"/>
        <w:rPr>
          <w:sz w:val="2"/>
          <w:szCs w:val="2"/>
          <w:highlight w:val="yellow"/>
        </w:rPr>
      </w:pPr>
    </w:p>
    <w:p w14:paraId="4692ABE6" w14:textId="77777777" w:rsidR="00635654" w:rsidRPr="00835574" w:rsidRDefault="00635654" w:rsidP="00635654">
      <w:pPr>
        <w:pStyle w:val="Sinespaciado"/>
        <w:jc w:val="both"/>
      </w:pPr>
    </w:p>
    <w:p w14:paraId="03D976FE" w14:textId="77777777" w:rsidR="00635654" w:rsidRPr="00835574" w:rsidRDefault="00635654" w:rsidP="00635654">
      <w:pPr>
        <w:pStyle w:val="Sinespaciado"/>
        <w:jc w:val="both"/>
      </w:pPr>
      <w:r w:rsidRPr="00835574">
        <w:t xml:space="preserve">La Oficina de Pensiones del Estado de Oaxaca, con respecto al ejercicio fiscal inmediato anterior, presenta un incremento de 41.77 por ciento. Dicho incremento deriva del apoyo extraordinario que el Estado realiza (632 mdp) para fortalecer el Fondo de Pensiones, de conformidad con el artículo </w:t>
      </w:r>
      <w:r w:rsidRPr="00835574">
        <w:rPr>
          <w:lang w:eastAsia="es-MX" w:bidi="es-MX"/>
        </w:rPr>
        <w:t>7 de la Ley de Pensiones para los Trabajadores del Gobierno del Estado de Oaxaca</w:t>
      </w:r>
      <w:r w:rsidRPr="00835574">
        <w:t>.</w:t>
      </w:r>
    </w:p>
    <w:p w14:paraId="48B698FB" w14:textId="77777777" w:rsidR="00635654" w:rsidRPr="00835574" w:rsidRDefault="00635654" w:rsidP="00635654">
      <w:pPr>
        <w:pStyle w:val="Sinespaciado"/>
        <w:jc w:val="both"/>
        <w:rPr>
          <w:rFonts w:eastAsia="Times New Roman"/>
          <w:lang w:val="es-ES" w:eastAsia="es-ES"/>
        </w:rPr>
      </w:pPr>
    </w:p>
    <w:p w14:paraId="2017C38E" w14:textId="77777777" w:rsidR="00635654" w:rsidRPr="00835574" w:rsidRDefault="00635654" w:rsidP="00635654">
      <w:pPr>
        <w:pStyle w:val="Sinespaciado"/>
        <w:jc w:val="both"/>
        <w:rPr>
          <w:b/>
          <w:bCs/>
        </w:rPr>
      </w:pPr>
      <w:r w:rsidRPr="00835574">
        <w:rPr>
          <w:b/>
          <w:bCs/>
        </w:rPr>
        <w:t>La Clasificación Funcional y Programática.</w:t>
      </w:r>
    </w:p>
    <w:p w14:paraId="4AB5E76A" w14:textId="77777777" w:rsidR="00635654" w:rsidRPr="00835574" w:rsidRDefault="00635654" w:rsidP="00635654">
      <w:pPr>
        <w:pStyle w:val="Sinespaciado"/>
        <w:jc w:val="both"/>
        <w:rPr>
          <w:b/>
          <w:bCs/>
        </w:rPr>
      </w:pPr>
    </w:p>
    <w:p w14:paraId="3F7BBCA0" w14:textId="77777777" w:rsidR="00635654" w:rsidRPr="00835574" w:rsidRDefault="00635654" w:rsidP="00635654">
      <w:pPr>
        <w:pStyle w:val="Sinespaciado"/>
        <w:jc w:val="both"/>
      </w:pPr>
      <w:r w:rsidRPr="00835574">
        <w:t>La Clasificación Funcional del Gasto agrupa los gastos según los propósitos u objetivos socioeconómicos que persiguen los diferentes entes públicos. Con esta clasificación se identifica el presupuesto destinado a funciones de gobierno, desarrollo social, desarrollo económico y otros no clasificados; permitiendo determinar los objetivos generales de las políticas públicas y los recursos financieros que se asignan para alcanzarlos.</w:t>
      </w:r>
    </w:p>
    <w:p w14:paraId="4E4CF8CE" w14:textId="77777777" w:rsidR="009B0A43" w:rsidRPr="00835574" w:rsidRDefault="009B0A43" w:rsidP="009B0A43">
      <w:pPr>
        <w:rPr>
          <w:b/>
          <w:bCs/>
        </w:rPr>
      </w:pPr>
    </w:p>
    <w:p w14:paraId="4EAE19B3" w14:textId="77777777" w:rsidR="009B0A43" w:rsidRPr="00835574" w:rsidRDefault="009B0A43">
      <w:pPr>
        <w:rPr>
          <w:b/>
          <w:bCs/>
        </w:rPr>
      </w:pPr>
      <w:r w:rsidRPr="00835574">
        <w:rPr>
          <w:b/>
          <w:bCs/>
        </w:rPr>
        <w:br w:type="page"/>
      </w:r>
    </w:p>
    <w:p w14:paraId="66FC1FB3" w14:textId="79F1DCBC" w:rsidR="00635654" w:rsidRPr="00835574" w:rsidRDefault="00635654" w:rsidP="000A2E2C">
      <w:pPr>
        <w:jc w:val="center"/>
        <w:rPr>
          <w:b/>
          <w:bCs/>
        </w:rPr>
      </w:pPr>
      <w:r w:rsidRPr="00835574">
        <w:rPr>
          <w:b/>
          <w:bCs/>
        </w:rPr>
        <w:lastRenderedPageBreak/>
        <w:t>Clasificación Funcional</w:t>
      </w:r>
    </w:p>
    <w:p w14:paraId="715901EC" w14:textId="4A73B00D" w:rsidR="00635654" w:rsidRPr="00835574" w:rsidRDefault="00FD038E" w:rsidP="00FD038E">
      <w:pPr>
        <w:pStyle w:val="Sinespaciado"/>
        <w:jc w:val="center"/>
      </w:pPr>
      <w:r>
        <w:rPr>
          <w:noProof/>
          <w:lang w:eastAsia="es-MX"/>
        </w:rPr>
        <w:drawing>
          <wp:inline distT="0" distB="0" distL="0" distR="0" wp14:anchorId="5335CD6B" wp14:editId="473E5551">
            <wp:extent cx="5612130" cy="3156585"/>
            <wp:effectExtent l="0" t="0" r="0" b="0"/>
            <wp:docPr id="1" name="Gráfico 1">
              <a:extLst xmlns:a="http://schemas.openxmlformats.org/drawingml/2006/main">
                <a:ext uri="{FF2B5EF4-FFF2-40B4-BE49-F238E27FC236}">
                  <a16:creationId xmlns:a16="http://schemas.microsoft.com/office/drawing/2014/main" id="{E613FC88-376B-4CD7-8343-C33C3B9F1E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ABAA26" w14:textId="77777777" w:rsidR="00635654" w:rsidRPr="00994CDD" w:rsidRDefault="00635654" w:rsidP="00635654">
      <w:pPr>
        <w:pStyle w:val="Sinespaciado"/>
        <w:jc w:val="both"/>
        <w:rPr>
          <w:sz w:val="18"/>
          <w:szCs w:val="18"/>
        </w:rPr>
      </w:pPr>
      <w:r w:rsidRPr="00994CDD">
        <w:rPr>
          <w:sz w:val="18"/>
          <w:szCs w:val="18"/>
        </w:rPr>
        <w:t>Fuente: Secretaría de Finanzas</w:t>
      </w:r>
    </w:p>
    <w:p w14:paraId="1AAB77E8" w14:textId="77777777" w:rsidR="00635654" w:rsidRPr="00835574" w:rsidRDefault="00635654" w:rsidP="00635654">
      <w:pPr>
        <w:pStyle w:val="Sinespaciado"/>
        <w:jc w:val="both"/>
        <w:rPr>
          <w:i/>
          <w:iCs/>
        </w:rPr>
      </w:pPr>
    </w:p>
    <w:p w14:paraId="1D94C413" w14:textId="3C83190D" w:rsidR="00635654" w:rsidRPr="00835574" w:rsidRDefault="00635654" w:rsidP="00635654">
      <w:pPr>
        <w:pStyle w:val="Sinespaciado"/>
        <w:jc w:val="both"/>
      </w:pPr>
      <w:r w:rsidRPr="00835574">
        <w:t>Con respecto al 23.</w:t>
      </w:r>
      <w:r w:rsidR="007E635C">
        <w:t>80</w:t>
      </w:r>
      <w:r w:rsidRPr="00835574">
        <w:t xml:space="preserve"> por ciento del presupuesto destinado a la categoría de Otras no Clasificadas en Funciones Anteriores, se precisa que 19,979.32 mdp corresponde a participaciones y aportaciones destinadas a los municipios</w:t>
      </w:r>
      <w:r w:rsidR="007E635C">
        <w:t xml:space="preserve">, </w:t>
      </w:r>
      <w:r w:rsidRPr="00835574">
        <w:t>1,915.01 mdp corresponde al presupuesto destinado para hacer frente al pago del servicio de la deuda pública interna</w:t>
      </w:r>
      <w:r w:rsidR="007E635C">
        <w:t xml:space="preserve"> y 58 mdp para el pago de adeudos de ejercicios fiscales anteriores.</w:t>
      </w:r>
    </w:p>
    <w:p w14:paraId="6F32E1B8" w14:textId="77777777" w:rsidR="00635654" w:rsidRPr="00835574" w:rsidRDefault="00635654" w:rsidP="00635654">
      <w:pPr>
        <w:pStyle w:val="Sinespaciado"/>
        <w:rPr>
          <w:b/>
          <w:bCs/>
        </w:rPr>
      </w:pPr>
    </w:p>
    <w:p w14:paraId="3A7A4774" w14:textId="3A510541" w:rsidR="00635654" w:rsidRDefault="00635654" w:rsidP="00BD069C">
      <w:pPr>
        <w:rPr>
          <w:b/>
          <w:bCs/>
        </w:rPr>
      </w:pPr>
      <w:r w:rsidRPr="00835574">
        <w:rPr>
          <w:b/>
          <w:bCs/>
        </w:rPr>
        <w:t>Clasificación Programática</w:t>
      </w:r>
    </w:p>
    <w:p w14:paraId="514370C5" w14:textId="78A0172B" w:rsidR="006D46AB" w:rsidRPr="00835574" w:rsidRDefault="006D46AB" w:rsidP="007A756D">
      <w:pPr>
        <w:jc w:val="center"/>
        <w:rPr>
          <w:b/>
          <w:bCs/>
        </w:rPr>
      </w:pPr>
      <w:r>
        <w:rPr>
          <w:noProof/>
          <w:lang w:eastAsia="es-MX"/>
        </w:rPr>
        <w:lastRenderedPageBreak/>
        <w:drawing>
          <wp:inline distT="0" distB="0" distL="0" distR="0" wp14:anchorId="30A5B213" wp14:editId="2568FBE8">
            <wp:extent cx="4352430" cy="3600000"/>
            <wp:effectExtent l="0" t="0" r="0" b="0"/>
            <wp:docPr id="23" name="Gráfico 23">
              <a:extLst xmlns:a="http://schemas.openxmlformats.org/drawingml/2006/main">
                <a:ext uri="{FF2B5EF4-FFF2-40B4-BE49-F238E27FC236}">
                  <a16:creationId xmlns:a16="http://schemas.microsoft.com/office/drawing/2014/main" id="{265B3A65-7C1B-428B-BBDB-0A79E39DDE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A72DFC" w14:textId="77777777" w:rsidR="00635654" w:rsidRPr="00994CDD" w:rsidRDefault="00635654" w:rsidP="00994CDD">
      <w:pPr>
        <w:pStyle w:val="Sinespaciado"/>
        <w:ind w:left="1416"/>
        <w:jc w:val="both"/>
        <w:rPr>
          <w:sz w:val="18"/>
          <w:szCs w:val="18"/>
        </w:rPr>
      </w:pPr>
      <w:r w:rsidRPr="00994CDD">
        <w:rPr>
          <w:sz w:val="18"/>
          <w:szCs w:val="18"/>
        </w:rPr>
        <w:t>Fuente: Secretaría de Finanzas</w:t>
      </w:r>
    </w:p>
    <w:p w14:paraId="549BE860" w14:textId="77777777" w:rsidR="00635654" w:rsidRPr="00835574" w:rsidRDefault="00635654" w:rsidP="00635654">
      <w:pPr>
        <w:pStyle w:val="Sinespaciado"/>
        <w:jc w:val="both"/>
        <w:rPr>
          <w:i/>
          <w:iCs/>
        </w:rPr>
      </w:pPr>
    </w:p>
    <w:p w14:paraId="7C2E8B74" w14:textId="1CA18972" w:rsidR="00635654" w:rsidRDefault="00635654" w:rsidP="00635654">
      <w:pPr>
        <w:pStyle w:val="Sinespaciado"/>
        <w:jc w:val="both"/>
      </w:pPr>
      <w:r w:rsidRPr="00835574">
        <w:t>Así mismo, para el ejercicio fiscal 2023, el 89.6</w:t>
      </w:r>
      <w:r w:rsidR="00BF405D">
        <w:t>1</w:t>
      </w:r>
      <w:r w:rsidRPr="00835574">
        <w:t xml:space="preserve"> por ciento (82,</w:t>
      </w:r>
      <w:r w:rsidR="00BF405D">
        <w:t>645</w:t>
      </w:r>
      <w:r w:rsidRPr="00835574">
        <w:t>.16 mdp) del presupuesto se destina a programas orientados a resultados, el 8.25 por ciento (7,609.28 mdp) corresponde a las participaciones que la federación destina a los municipios</w:t>
      </w:r>
      <w:r w:rsidR="00BF405D">
        <w:t xml:space="preserve">, </w:t>
      </w:r>
      <w:r w:rsidRPr="00835574">
        <w:t>el 2.08 por ciento (1,917.03 mdp) se destina al costo financiero, deuda o apoyos a deudores y ahorradores de la banca</w:t>
      </w:r>
      <w:r w:rsidR="00BF405D">
        <w:t xml:space="preserve"> y el 0.06 por ciento (58 mdp) se destina a los Adeudos de Ejercicios Fiscales Anteriores en congruencia con el </w:t>
      </w:r>
      <w:r w:rsidR="00C6702F">
        <w:t>a</w:t>
      </w:r>
      <w:r w:rsidR="00BF405D">
        <w:t xml:space="preserve">rtículo </w:t>
      </w:r>
      <w:r w:rsidR="00C6702F">
        <w:t>41 del presente Decreto.</w:t>
      </w:r>
    </w:p>
    <w:p w14:paraId="20A8E684" w14:textId="77777777" w:rsidR="00635654" w:rsidRPr="00835574" w:rsidRDefault="00635654" w:rsidP="00635654">
      <w:pPr>
        <w:pStyle w:val="Sinespaciado"/>
        <w:jc w:val="both"/>
      </w:pPr>
    </w:p>
    <w:p w14:paraId="0AA015B8" w14:textId="77777777" w:rsidR="00635654" w:rsidRPr="00835574" w:rsidRDefault="00635654" w:rsidP="00635654">
      <w:pPr>
        <w:pStyle w:val="Sinespaciado"/>
        <w:jc w:val="both"/>
        <w:rPr>
          <w:b/>
          <w:bCs/>
        </w:rPr>
      </w:pPr>
      <w:r w:rsidRPr="00835574">
        <w:rPr>
          <w:b/>
          <w:bCs/>
        </w:rPr>
        <w:t>Clasificación por Tipo y Objeto de Gasto</w:t>
      </w:r>
    </w:p>
    <w:p w14:paraId="3A6DFD6D" w14:textId="77777777" w:rsidR="00635654" w:rsidRPr="00835574" w:rsidRDefault="00635654" w:rsidP="00635654">
      <w:pPr>
        <w:pStyle w:val="Sinespaciado"/>
        <w:jc w:val="both"/>
      </w:pPr>
    </w:p>
    <w:p w14:paraId="28A00050" w14:textId="11081804" w:rsidR="00635654" w:rsidRPr="00835574" w:rsidRDefault="00635654" w:rsidP="00635654">
      <w:pPr>
        <w:pStyle w:val="Sinespaciado"/>
        <w:jc w:val="both"/>
      </w:pPr>
      <w:r w:rsidRPr="00835574">
        <w:t>Estas clasificaciones relacionan las transacciones públicas que generan gastos con los grandes agregados de la clasificación económica presentándolos en Corriente; de Capital; Amortización de la deuda y disminución de pasivos; Pensiones y Jubilaciones</w:t>
      </w:r>
      <w:r w:rsidR="00A359E5" w:rsidRPr="00835574">
        <w:t>;</w:t>
      </w:r>
      <w:r w:rsidRPr="00835574">
        <w:t xml:space="preserve"> y Participaciones, así mismo, permiten una clasificación de las erogaciones, consistente con criterios internacionales y con criterios contables, claros, precisos, integrales y útiles, que posibilitan un adecuado registro y exposición de las operaciones, y que facilitan la interrelación con las cuentas patrimoniales.</w:t>
      </w:r>
    </w:p>
    <w:p w14:paraId="1D38BC01" w14:textId="77777777" w:rsidR="00635654" w:rsidRPr="00835574" w:rsidRDefault="00635654" w:rsidP="00635654">
      <w:pPr>
        <w:pStyle w:val="Sinespaciado"/>
        <w:rPr>
          <w:b/>
          <w:bCs/>
        </w:rPr>
      </w:pPr>
    </w:p>
    <w:p w14:paraId="7A6A7671" w14:textId="77777777" w:rsidR="004B783B" w:rsidRPr="00835574" w:rsidRDefault="00635654" w:rsidP="00F231B6">
      <w:pPr>
        <w:jc w:val="center"/>
        <w:rPr>
          <w:b/>
          <w:bCs/>
        </w:rPr>
      </w:pPr>
      <w:r w:rsidRPr="00835574">
        <w:rPr>
          <w:b/>
          <w:bCs/>
        </w:rPr>
        <w:t>Clasificación por Tipo de Gasto</w:t>
      </w:r>
    </w:p>
    <w:p w14:paraId="0704ACE6" w14:textId="0C80D2C2" w:rsidR="00635654" w:rsidRPr="00835574" w:rsidRDefault="00F231B6" w:rsidP="00F231B6">
      <w:pPr>
        <w:jc w:val="center"/>
        <w:rPr>
          <w:i/>
          <w:iCs/>
        </w:rPr>
      </w:pPr>
      <w:r>
        <w:rPr>
          <w:noProof/>
          <w:lang w:eastAsia="es-MX"/>
        </w:rPr>
        <w:lastRenderedPageBreak/>
        <w:drawing>
          <wp:inline distT="0" distB="0" distL="0" distR="0" wp14:anchorId="45221B1E" wp14:editId="311B5550">
            <wp:extent cx="5757062" cy="2933700"/>
            <wp:effectExtent l="0" t="0" r="0" b="0"/>
            <wp:docPr id="22" name="Gráfico 22">
              <a:extLst xmlns:a="http://schemas.openxmlformats.org/drawingml/2006/main">
                <a:ext uri="{FF2B5EF4-FFF2-40B4-BE49-F238E27FC236}">
                  <a16:creationId xmlns:a16="http://schemas.microsoft.com/office/drawing/2014/main" id="{E194F637-210F-4228-ACE7-75F715A2D8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699951" w14:textId="77777777" w:rsidR="00635654" w:rsidRPr="00994CDD" w:rsidRDefault="00635654" w:rsidP="00994CDD">
      <w:pPr>
        <w:pStyle w:val="Sinespaciado"/>
        <w:ind w:left="708" w:firstLine="708"/>
        <w:jc w:val="both"/>
        <w:rPr>
          <w:sz w:val="18"/>
          <w:szCs w:val="18"/>
        </w:rPr>
      </w:pPr>
      <w:r w:rsidRPr="00994CDD">
        <w:rPr>
          <w:sz w:val="18"/>
          <w:szCs w:val="18"/>
        </w:rPr>
        <w:t>Fuente: Secretaría de Finanzas</w:t>
      </w:r>
    </w:p>
    <w:p w14:paraId="432BA73F" w14:textId="77777777" w:rsidR="00635654" w:rsidRPr="00835574" w:rsidRDefault="00635654" w:rsidP="00635654">
      <w:pPr>
        <w:pStyle w:val="Sinespaciado"/>
        <w:jc w:val="both"/>
      </w:pPr>
    </w:p>
    <w:p w14:paraId="7CBBE829" w14:textId="11EFCF21" w:rsidR="00635654" w:rsidRPr="00835574" w:rsidRDefault="00635654" w:rsidP="00635654">
      <w:pPr>
        <w:pStyle w:val="Sinespaciado"/>
        <w:jc w:val="both"/>
      </w:pPr>
      <w:r w:rsidRPr="00835574">
        <w:t>Para el ejercicio fiscal 2023, el 7</w:t>
      </w:r>
      <w:r w:rsidR="00607312">
        <w:t>3.01</w:t>
      </w:r>
      <w:r w:rsidRPr="00835574">
        <w:t xml:space="preserve"> por ciento del presupuesto (67,</w:t>
      </w:r>
      <w:r w:rsidR="00607312">
        <w:t>333</w:t>
      </w:r>
      <w:r w:rsidRPr="00835574">
        <w:t>.</w:t>
      </w:r>
      <w:r w:rsidR="00607312">
        <w:t>13</w:t>
      </w:r>
      <w:r w:rsidRPr="00835574">
        <w:t>), se destina al Gasto Corriente de los Ejecutores de gasto, así mismo, el 15.</w:t>
      </w:r>
      <w:r w:rsidR="00607312">
        <w:t xml:space="preserve">76 </w:t>
      </w:r>
      <w:r w:rsidRPr="00835574">
        <w:t>por ciento del presupuesto (14,</w:t>
      </w:r>
      <w:r w:rsidR="00607312">
        <w:t>533</w:t>
      </w:r>
      <w:r w:rsidRPr="00835574">
        <w:t>.</w:t>
      </w:r>
      <w:r w:rsidR="00607312">
        <w:t>81</w:t>
      </w:r>
      <w:r w:rsidRPr="00835574">
        <w:t xml:space="preserve"> mdp) se destina al Gasto del Capital, de los cuales 3,042.28 mdp se destinan a obra pública y 2,</w:t>
      </w:r>
      <w:r w:rsidR="00607312">
        <w:t>411</w:t>
      </w:r>
      <w:r w:rsidRPr="00835574">
        <w:t>.</w:t>
      </w:r>
      <w:r w:rsidR="00607312">
        <w:t>46</w:t>
      </w:r>
      <w:r w:rsidRPr="00835574">
        <w:t xml:space="preserve"> mdp para acciones de fomento.</w:t>
      </w:r>
    </w:p>
    <w:p w14:paraId="4FC669A6" w14:textId="77777777" w:rsidR="00635654" w:rsidRPr="00835574" w:rsidRDefault="00635654" w:rsidP="00635654">
      <w:pPr>
        <w:pStyle w:val="Sinespaciado"/>
        <w:jc w:val="both"/>
        <w:rPr>
          <w:highlight w:val="yellow"/>
        </w:rPr>
      </w:pPr>
    </w:p>
    <w:p w14:paraId="09CFEFC8" w14:textId="6A76B469" w:rsidR="00635654" w:rsidRPr="00835574" w:rsidRDefault="00635654" w:rsidP="00635654">
      <w:pPr>
        <w:pStyle w:val="Sinespaciado"/>
        <w:jc w:val="both"/>
      </w:pPr>
      <w:r w:rsidRPr="00835574">
        <w:t>Para la amortización de la deuda y disminución de pasivos se destina el 2.0</w:t>
      </w:r>
      <w:r w:rsidR="005D557C" w:rsidRPr="00835574">
        <w:t>9</w:t>
      </w:r>
      <w:r w:rsidRPr="00835574">
        <w:t xml:space="preserve"> por ciento del total del presupuesto (1,</w:t>
      </w:r>
      <w:r w:rsidR="005D557C" w:rsidRPr="00835574">
        <w:t>929</w:t>
      </w:r>
      <w:r w:rsidRPr="00835574">
        <w:t xml:space="preserve"> mdp), según lo siguiente:</w:t>
      </w:r>
    </w:p>
    <w:p w14:paraId="092E8368" w14:textId="77777777" w:rsidR="00635654" w:rsidRPr="00835574" w:rsidRDefault="00635654" w:rsidP="00635654">
      <w:pPr>
        <w:pStyle w:val="Sinespaciado"/>
        <w:jc w:val="both"/>
        <w:rPr>
          <w:b/>
          <w:bCs/>
          <w:i/>
          <w:iCs/>
          <w:sz w:val="24"/>
          <w:szCs w:val="24"/>
          <w:highlight w:val="yellow"/>
        </w:rPr>
      </w:pPr>
    </w:p>
    <w:p w14:paraId="5873E5A7" w14:textId="77777777" w:rsidR="00635654" w:rsidRPr="001E16C4" w:rsidRDefault="00635654" w:rsidP="00635654">
      <w:pPr>
        <w:pStyle w:val="Sinespaciado"/>
        <w:jc w:val="center"/>
        <w:rPr>
          <w:sz w:val="24"/>
          <w:szCs w:val="24"/>
        </w:rPr>
      </w:pPr>
      <w:r w:rsidRPr="001E16C4">
        <w:rPr>
          <w:b/>
          <w:bCs/>
          <w:sz w:val="24"/>
          <w:szCs w:val="24"/>
        </w:rPr>
        <w:t>Distribución del presupuesto destinado al pago del servicio de la deuda</w:t>
      </w:r>
    </w:p>
    <w:p w14:paraId="713E0C56" w14:textId="77777777" w:rsidR="00635654" w:rsidRPr="001E16C4" w:rsidRDefault="00635654" w:rsidP="00635654">
      <w:pPr>
        <w:pStyle w:val="Sinespaciado"/>
        <w:jc w:val="center"/>
        <w:rPr>
          <w:sz w:val="24"/>
          <w:szCs w:val="24"/>
        </w:rPr>
      </w:pPr>
      <w:r w:rsidRPr="001E16C4">
        <w:rPr>
          <w:sz w:val="24"/>
          <w:szCs w:val="24"/>
        </w:rPr>
        <w:t>Pesos</w:t>
      </w:r>
    </w:p>
    <w:p w14:paraId="746C22D2" w14:textId="77777777" w:rsidR="00635654" w:rsidRPr="00835574" w:rsidRDefault="00635654" w:rsidP="00635654">
      <w:pPr>
        <w:pStyle w:val="Sinespaciado"/>
        <w:jc w:val="both"/>
        <w:rPr>
          <w:i/>
          <w:iCs/>
          <w:sz w:val="8"/>
          <w:szCs w:val="8"/>
        </w:rPr>
      </w:pPr>
    </w:p>
    <w:p w14:paraId="7380BB8F" w14:textId="77777777" w:rsidR="00635654" w:rsidRPr="00835574" w:rsidRDefault="00635654" w:rsidP="00635654">
      <w:pPr>
        <w:pStyle w:val="Sinespaciado"/>
        <w:jc w:val="both"/>
        <w:rPr>
          <w:i/>
          <w:iCs/>
          <w:sz w:val="8"/>
          <w:szCs w:val="8"/>
        </w:rPr>
      </w:pPr>
    </w:p>
    <w:tbl>
      <w:tblPr>
        <w:tblW w:w="0" w:type="auto"/>
        <w:jc w:val="center"/>
        <w:tblCellMar>
          <w:left w:w="70" w:type="dxa"/>
          <w:right w:w="70" w:type="dxa"/>
        </w:tblCellMar>
        <w:tblLook w:val="04A0" w:firstRow="1" w:lastRow="0" w:firstColumn="1" w:lastColumn="0" w:noHBand="0" w:noVBand="1"/>
      </w:tblPr>
      <w:tblGrid>
        <w:gridCol w:w="3809"/>
        <w:gridCol w:w="1807"/>
      </w:tblGrid>
      <w:tr w:rsidR="00835574" w:rsidRPr="00835574" w14:paraId="1F0F33C7" w14:textId="77777777" w:rsidTr="009F17D2">
        <w:trPr>
          <w:trHeight w:val="593"/>
          <w:jc w:val="center"/>
        </w:trPr>
        <w:tc>
          <w:tcPr>
            <w:tcW w:w="0" w:type="auto"/>
            <w:shd w:val="clear" w:color="auto" w:fill="BFBFBF" w:themeFill="background1" w:themeFillShade="BF"/>
            <w:noWrap/>
            <w:vAlign w:val="center"/>
            <w:hideMark/>
          </w:tcPr>
          <w:p w14:paraId="2CA86518" w14:textId="77777777" w:rsidR="00635654" w:rsidRPr="00835574" w:rsidRDefault="00635654" w:rsidP="009F17D2">
            <w:pPr>
              <w:pStyle w:val="Sinespaciado"/>
              <w:jc w:val="both"/>
              <w:rPr>
                <w:b/>
                <w:bCs/>
                <w:lang w:eastAsia="es-MX"/>
              </w:rPr>
            </w:pPr>
            <w:r w:rsidRPr="00835574">
              <w:rPr>
                <w:b/>
                <w:bCs/>
                <w:lang w:eastAsia="es-MX"/>
              </w:rPr>
              <w:t>Concepto</w:t>
            </w:r>
          </w:p>
        </w:tc>
        <w:tc>
          <w:tcPr>
            <w:tcW w:w="0" w:type="auto"/>
            <w:shd w:val="clear" w:color="auto" w:fill="BFBFBF" w:themeFill="background1" w:themeFillShade="BF"/>
            <w:noWrap/>
            <w:vAlign w:val="center"/>
            <w:hideMark/>
          </w:tcPr>
          <w:p w14:paraId="533B2535" w14:textId="77777777" w:rsidR="00635654" w:rsidRPr="00835574" w:rsidRDefault="00635654" w:rsidP="009F17D2">
            <w:pPr>
              <w:pStyle w:val="Sinespaciado"/>
              <w:jc w:val="both"/>
              <w:rPr>
                <w:b/>
                <w:bCs/>
                <w:lang w:eastAsia="es-MX"/>
              </w:rPr>
            </w:pPr>
            <w:r w:rsidRPr="00835574">
              <w:rPr>
                <w:b/>
                <w:bCs/>
                <w:lang w:eastAsia="es-MX"/>
              </w:rPr>
              <w:t xml:space="preserve">    Presupuesto</w:t>
            </w:r>
          </w:p>
        </w:tc>
      </w:tr>
      <w:tr w:rsidR="00835574" w:rsidRPr="00835574" w14:paraId="121D6191" w14:textId="77777777" w:rsidTr="009F17D2">
        <w:trPr>
          <w:trHeight w:val="282"/>
          <w:jc w:val="center"/>
        </w:trPr>
        <w:tc>
          <w:tcPr>
            <w:tcW w:w="0" w:type="auto"/>
            <w:noWrap/>
            <w:vAlign w:val="center"/>
            <w:hideMark/>
          </w:tcPr>
          <w:p w14:paraId="254224BF" w14:textId="77777777" w:rsidR="00635654" w:rsidRPr="00835574" w:rsidRDefault="00635654" w:rsidP="009F17D2">
            <w:pPr>
              <w:pStyle w:val="Sinespaciado"/>
              <w:jc w:val="both"/>
              <w:rPr>
                <w:lang w:eastAsia="es-MX"/>
              </w:rPr>
            </w:pPr>
            <w:r w:rsidRPr="00835574">
              <w:rPr>
                <w:lang w:eastAsia="es-MX"/>
              </w:rPr>
              <w:t>Amortización de la Deuda Pública</w:t>
            </w:r>
          </w:p>
        </w:tc>
        <w:tc>
          <w:tcPr>
            <w:tcW w:w="0" w:type="auto"/>
            <w:noWrap/>
            <w:vAlign w:val="center"/>
            <w:hideMark/>
          </w:tcPr>
          <w:p w14:paraId="758889DA" w14:textId="77777777" w:rsidR="00635654" w:rsidRPr="00835574" w:rsidRDefault="00635654" w:rsidP="009F17D2">
            <w:pPr>
              <w:pStyle w:val="Sinespaciado"/>
              <w:jc w:val="right"/>
              <w:rPr>
                <w:lang w:eastAsia="es-MX"/>
              </w:rPr>
            </w:pPr>
            <w:r w:rsidRPr="00835574">
              <w:rPr>
                <w:lang w:eastAsia="es-MX"/>
              </w:rPr>
              <w:t>305,056,236.79</w:t>
            </w:r>
          </w:p>
        </w:tc>
      </w:tr>
      <w:tr w:rsidR="00835574" w:rsidRPr="00835574" w14:paraId="7DE27F55" w14:textId="77777777" w:rsidTr="009F17D2">
        <w:trPr>
          <w:trHeight w:val="157"/>
          <w:jc w:val="center"/>
        </w:trPr>
        <w:tc>
          <w:tcPr>
            <w:tcW w:w="0" w:type="auto"/>
            <w:noWrap/>
            <w:vAlign w:val="center"/>
            <w:hideMark/>
          </w:tcPr>
          <w:p w14:paraId="0C34A469" w14:textId="77777777" w:rsidR="00635654" w:rsidRPr="00835574" w:rsidRDefault="00635654" w:rsidP="009F17D2">
            <w:pPr>
              <w:pStyle w:val="Sinespaciado"/>
              <w:jc w:val="both"/>
              <w:rPr>
                <w:lang w:eastAsia="es-MX"/>
              </w:rPr>
            </w:pPr>
            <w:r w:rsidRPr="00835574">
              <w:rPr>
                <w:lang w:eastAsia="es-MX"/>
              </w:rPr>
              <w:t xml:space="preserve">Intereses de la Deuda Pública </w:t>
            </w:r>
          </w:p>
        </w:tc>
        <w:tc>
          <w:tcPr>
            <w:tcW w:w="0" w:type="auto"/>
            <w:noWrap/>
            <w:vAlign w:val="center"/>
            <w:hideMark/>
          </w:tcPr>
          <w:p w14:paraId="5A94147A" w14:textId="77777777" w:rsidR="00635654" w:rsidRPr="00835574" w:rsidRDefault="00635654" w:rsidP="009F17D2">
            <w:pPr>
              <w:pStyle w:val="Sinespaciado"/>
              <w:jc w:val="right"/>
              <w:rPr>
                <w:lang w:eastAsia="es-MX"/>
              </w:rPr>
            </w:pPr>
            <w:r w:rsidRPr="00835574">
              <w:rPr>
                <w:lang w:eastAsia="es-MX"/>
              </w:rPr>
              <w:t>1,562,343,904.51</w:t>
            </w:r>
          </w:p>
        </w:tc>
      </w:tr>
      <w:tr w:rsidR="00835574" w:rsidRPr="00835574" w14:paraId="1F634659" w14:textId="77777777" w:rsidTr="009F17D2">
        <w:trPr>
          <w:trHeight w:val="223"/>
          <w:jc w:val="center"/>
        </w:trPr>
        <w:tc>
          <w:tcPr>
            <w:tcW w:w="0" w:type="auto"/>
            <w:noWrap/>
            <w:vAlign w:val="center"/>
            <w:hideMark/>
          </w:tcPr>
          <w:p w14:paraId="753BD91C" w14:textId="77777777" w:rsidR="00635654" w:rsidRPr="00835574" w:rsidRDefault="00635654" w:rsidP="009F17D2">
            <w:pPr>
              <w:pStyle w:val="Sinespaciado"/>
              <w:jc w:val="both"/>
              <w:rPr>
                <w:lang w:eastAsia="es-MX"/>
              </w:rPr>
            </w:pPr>
            <w:r w:rsidRPr="00835574">
              <w:rPr>
                <w:lang w:eastAsia="es-MX"/>
              </w:rPr>
              <w:t xml:space="preserve">Gastos de la Deuda Pública </w:t>
            </w:r>
          </w:p>
        </w:tc>
        <w:tc>
          <w:tcPr>
            <w:tcW w:w="0" w:type="auto"/>
            <w:noWrap/>
            <w:vAlign w:val="center"/>
            <w:hideMark/>
          </w:tcPr>
          <w:p w14:paraId="1405037B" w14:textId="77777777" w:rsidR="00635654" w:rsidRPr="00835574" w:rsidRDefault="00635654" w:rsidP="009F17D2">
            <w:pPr>
              <w:pStyle w:val="Sinespaciado"/>
              <w:jc w:val="right"/>
              <w:rPr>
                <w:lang w:eastAsia="es-MX"/>
              </w:rPr>
            </w:pPr>
            <w:r w:rsidRPr="00835574">
              <w:rPr>
                <w:lang w:eastAsia="es-MX"/>
              </w:rPr>
              <w:t>3,605,652.00</w:t>
            </w:r>
          </w:p>
        </w:tc>
      </w:tr>
      <w:tr w:rsidR="00835574" w:rsidRPr="00835574" w14:paraId="45078516" w14:textId="77777777" w:rsidTr="009F17D2">
        <w:trPr>
          <w:trHeight w:val="345"/>
          <w:jc w:val="center"/>
        </w:trPr>
        <w:tc>
          <w:tcPr>
            <w:tcW w:w="0" w:type="auto"/>
            <w:noWrap/>
            <w:vAlign w:val="center"/>
            <w:hideMark/>
          </w:tcPr>
          <w:p w14:paraId="3E8E94CE" w14:textId="77777777" w:rsidR="00635654" w:rsidRPr="00835574" w:rsidRDefault="00635654" w:rsidP="009F17D2">
            <w:pPr>
              <w:pStyle w:val="Sinespaciado"/>
              <w:jc w:val="both"/>
              <w:rPr>
                <w:lang w:eastAsia="es-MX"/>
              </w:rPr>
            </w:pPr>
            <w:r w:rsidRPr="00835574">
              <w:rPr>
                <w:lang w:eastAsia="es-MX"/>
              </w:rPr>
              <w:t>Adeudos de Ejercicios Fiscales Anteriores</w:t>
            </w:r>
          </w:p>
        </w:tc>
        <w:tc>
          <w:tcPr>
            <w:tcW w:w="0" w:type="auto"/>
            <w:noWrap/>
            <w:vAlign w:val="center"/>
            <w:hideMark/>
          </w:tcPr>
          <w:p w14:paraId="7EEF7FD2" w14:textId="69FC7D72" w:rsidR="00635654" w:rsidRPr="00835574" w:rsidRDefault="00635654" w:rsidP="009F17D2">
            <w:pPr>
              <w:pStyle w:val="Sinespaciado"/>
              <w:jc w:val="right"/>
              <w:rPr>
                <w:lang w:eastAsia="es-MX"/>
              </w:rPr>
            </w:pPr>
            <w:r w:rsidRPr="00835574">
              <w:rPr>
                <w:lang w:eastAsia="es-MX"/>
              </w:rPr>
              <w:t>5</w:t>
            </w:r>
            <w:r w:rsidR="007F3281" w:rsidRPr="00835574">
              <w:rPr>
                <w:lang w:eastAsia="es-MX"/>
              </w:rPr>
              <w:t>8</w:t>
            </w:r>
            <w:r w:rsidRPr="00835574">
              <w:rPr>
                <w:lang w:eastAsia="es-MX"/>
              </w:rPr>
              <w:t>,000,000.00</w:t>
            </w:r>
          </w:p>
        </w:tc>
      </w:tr>
      <w:tr w:rsidR="00835574" w:rsidRPr="00835574" w14:paraId="5786086F" w14:textId="77777777" w:rsidTr="009F17D2">
        <w:trPr>
          <w:trHeight w:val="325"/>
          <w:jc w:val="center"/>
        </w:trPr>
        <w:tc>
          <w:tcPr>
            <w:tcW w:w="0" w:type="auto"/>
            <w:shd w:val="clear" w:color="auto" w:fill="BFBFBF" w:themeFill="background1" w:themeFillShade="BF"/>
            <w:noWrap/>
            <w:vAlign w:val="center"/>
            <w:hideMark/>
          </w:tcPr>
          <w:p w14:paraId="4C89891D" w14:textId="77777777" w:rsidR="00635654" w:rsidRPr="00835574" w:rsidRDefault="00635654" w:rsidP="009F17D2">
            <w:pPr>
              <w:pStyle w:val="Sinespaciado"/>
              <w:jc w:val="both"/>
              <w:rPr>
                <w:b/>
                <w:bCs/>
                <w:lang w:eastAsia="es-MX"/>
              </w:rPr>
            </w:pPr>
            <w:r w:rsidRPr="00835574">
              <w:rPr>
                <w:b/>
                <w:bCs/>
                <w:lang w:eastAsia="es-MX"/>
              </w:rPr>
              <w:t>Total General</w:t>
            </w:r>
          </w:p>
        </w:tc>
        <w:tc>
          <w:tcPr>
            <w:tcW w:w="0" w:type="auto"/>
            <w:shd w:val="clear" w:color="auto" w:fill="BFBFBF" w:themeFill="background1" w:themeFillShade="BF"/>
            <w:noWrap/>
            <w:vAlign w:val="center"/>
            <w:hideMark/>
          </w:tcPr>
          <w:p w14:paraId="535DFB7F" w14:textId="4DCE6F8C" w:rsidR="00635654" w:rsidRPr="00835574" w:rsidRDefault="00635654" w:rsidP="009F17D2">
            <w:pPr>
              <w:pStyle w:val="Sinespaciado"/>
              <w:jc w:val="right"/>
              <w:rPr>
                <w:b/>
                <w:bCs/>
                <w:lang w:eastAsia="es-MX"/>
              </w:rPr>
            </w:pPr>
            <w:r w:rsidRPr="00835574">
              <w:rPr>
                <w:b/>
                <w:bCs/>
                <w:lang w:eastAsia="es-MX"/>
              </w:rPr>
              <w:t xml:space="preserve">  1,92</w:t>
            </w:r>
            <w:r w:rsidR="007F3281" w:rsidRPr="00835574">
              <w:rPr>
                <w:b/>
                <w:bCs/>
                <w:lang w:eastAsia="es-MX"/>
              </w:rPr>
              <w:t>9</w:t>
            </w:r>
            <w:r w:rsidRPr="00835574">
              <w:rPr>
                <w:b/>
                <w:bCs/>
                <w:lang w:eastAsia="es-MX"/>
              </w:rPr>
              <w:t xml:space="preserve">,005,793.30 </w:t>
            </w:r>
          </w:p>
        </w:tc>
      </w:tr>
    </w:tbl>
    <w:p w14:paraId="4BFE673C" w14:textId="77777777" w:rsidR="00635654" w:rsidRPr="00835574" w:rsidRDefault="00635654" w:rsidP="00635654">
      <w:pPr>
        <w:pStyle w:val="Sinespaciado"/>
        <w:jc w:val="both"/>
        <w:rPr>
          <w:i/>
          <w:iCs/>
          <w:sz w:val="2"/>
          <w:szCs w:val="2"/>
          <w:highlight w:val="yellow"/>
        </w:rPr>
      </w:pPr>
    </w:p>
    <w:p w14:paraId="79CB4BA0" w14:textId="77777777" w:rsidR="00635654" w:rsidRPr="00994CDD" w:rsidRDefault="00635654" w:rsidP="00635654">
      <w:pPr>
        <w:pStyle w:val="Sinespaciado"/>
        <w:ind w:left="1701"/>
        <w:rPr>
          <w:sz w:val="18"/>
          <w:szCs w:val="18"/>
        </w:rPr>
      </w:pPr>
      <w:r w:rsidRPr="00994CDD">
        <w:rPr>
          <w:sz w:val="18"/>
          <w:szCs w:val="18"/>
        </w:rPr>
        <w:t>Fuente: Secretaría de Finanzas</w:t>
      </w:r>
    </w:p>
    <w:p w14:paraId="0721295F" w14:textId="77777777" w:rsidR="00635654" w:rsidRPr="00835574" w:rsidRDefault="00635654" w:rsidP="00635654">
      <w:pPr>
        <w:pStyle w:val="Sinespaciado"/>
        <w:jc w:val="center"/>
        <w:rPr>
          <w:i/>
          <w:iCs/>
        </w:rPr>
      </w:pPr>
    </w:p>
    <w:p w14:paraId="163E534D" w14:textId="35BD509C" w:rsidR="00E55CB3" w:rsidRPr="00994CDD" w:rsidRDefault="00635654" w:rsidP="00421E8E">
      <w:pPr>
        <w:pStyle w:val="Sinespaciado"/>
        <w:jc w:val="both"/>
      </w:pPr>
      <w:r w:rsidRPr="00994CDD">
        <w:lastRenderedPageBreak/>
        <w:t>Con respecto a las participaciones que representan el 8.</w:t>
      </w:r>
      <w:r w:rsidR="006741E3" w:rsidRPr="00994CDD">
        <w:t>25</w:t>
      </w:r>
      <w:r w:rsidRPr="00994CDD">
        <w:t xml:space="preserve"> por ciento (7,609.28 mdp), corresponde a las participaciones que la federación destina a los municipios.</w:t>
      </w:r>
    </w:p>
    <w:p w14:paraId="3ACA5381" w14:textId="77777777" w:rsidR="005D4CEE" w:rsidRPr="00835574" w:rsidRDefault="005D4CEE" w:rsidP="00421E8E">
      <w:pPr>
        <w:pStyle w:val="Sinespaciado"/>
        <w:jc w:val="both"/>
        <w:rPr>
          <w:i/>
          <w:iCs/>
        </w:rPr>
      </w:pPr>
    </w:p>
    <w:p w14:paraId="7A2D86EE" w14:textId="393A81EB" w:rsidR="008B66BC" w:rsidRPr="00835574" w:rsidRDefault="006B4F1E" w:rsidP="00421E8E">
      <w:pPr>
        <w:pStyle w:val="Sinespaciado"/>
        <w:jc w:val="both"/>
        <w:rPr>
          <w:b/>
          <w:bCs/>
        </w:rPr>
      </w:pPr>
      <w:r w:rsidRPr="00835574">
        <w:rPr>
          <w:b/>
          <w:bCs/>
        </w:rPr>
        <w:t>PRERROGATIVAS DE LEY</w:t>
      </w:r>
    </w:p>
    <w:p w14:paraId="1496EDD7" w14:textId="7D2EFFEF" w:rsidR="00635654" w:rsidRPr="00835574" w:rsidRDefault="00635654" w:rsidP="00421E8E">
      <w:pPr>
        <w:pStyle w:val="Sinespaciado"/>
        <w:jc w:val="both"/>
        <w:rPr>
          <w:b/>
          <w:bCs/>
        </w:rPr>
      </w:pPr>
    </w:p>
    <w:p w14:paraId="753E81A3" w14:textId="77777777" w:rsidR="00635654" w:rsidRPr="00835574" w:rsidRDefault="00635654" w:rsidP="00635654">
      <w:pPr>
        <w:pStyle w:val="Sinespaciado"/>
        <w:jc w:val="both"/>
      </w:pPr>
      <w:r w:rsidRPr="00835574">
        <w:t>En cumplimiento a lo previsto en el artículo 41 fracción II, de la Constitución Política de los Estados Unidos Mexicanos, en el cual se garantiza a los partidos políticos nacionales contar de manera equitativa con elementos para llevar a cabo sus actividades y señala las reglas a que se sujetará el financiamiento de los propios partidos y sus campañas electorales, debiendo garantizar que los recursos públicos prevalezcan sobre los de origen privado.</w:t>
      </w:r>
    </w:p>
    <w:p w14:paraId="7A004DF0" w14:textId="77777777" w:rsidR="00635654" w:rsidRPr="00835574" w:rsidRDefault="00635654" w:rsidP="00635654">
      <w:pPr>
        <w:pStyle w:val="Sinespaciado"/>
        <w:jc w:val="both"/>
      </w:pPr>
    </w:p>
    <w:p w14:paraId="78BAD69D" w14:textId="77777777" w:rsidR="00635654" w:rsidRPr="00835574" w:rsidRDefault="00635654" w:rsidP="00635654">
      <w:pPr>
        <w:pStyle w:val="Sinespaciado"/>
        <w:jc w:val="both"/>
        <w:rPr>
          <w:rFonts w:cstheme="minorHAnsi"/>
        </w:rPr>
      </w:pPr>
      <w:r w:rsidRPr="00835574">
        <w:rPr>
          <w:rFonts w:cstheme="minorHAnsi"/>
        </w:rPr>
        <w:t>El financiamiento público se integrará de las ministraciones destinadas al sostenimiento de sus actividades ordinarias permanentes, las tendientes a la obtención del voto durante los procesos electorales y las de carácter específico. Se otorgará conforme a lo siguiente:</w:t>
      </w:r>
    </w:p>
    <w:p w14:paraId="32C82A90" w14:textId="77777777" w:rsidR="00635654" w:rsidRPr="00835574" w:rsidRDefault="00635654" w:rsidP="00635654">
      <w:pPr>
        <w:pStyle w:val="Sinespaciado"/>
        <w:jc w:val="both"/>
        <w:rPr>
          <w:rFonts w:cstheme="minorHAnsi"/>
        </w:rPr>
      </w:pPr>
    </w:p>
    <w:p w14:paraId="4415B4F2" w14:textId="77777777" w:rsidR="00635654" w:rsidRPr="00835574" w:rsidRDefault="00635654">
      <w:pPr>
        <w:pStyle w:val="Sinespaciado"/>
        <w:numPr>
          <w:ilvl w:val="0"/>
          <w:numId w:val="24"/>
        </w:numPr>
        <w:jc w:val="both"/>
        <w:rPr>
          <w:rFonts w:cstheme="minorHAnsi"/>
          <w:bCs/>
        </w:rPr>
      </w:pPr>
      <w:r w:rsidRPr="00835574">
        <w:rPr>
          <w:rFonts w:cstheme="minorHAnsi"/>
          <w:bCs/>
        </w:rPr>
        <w:t>El financiamiento público para el sostenimiento de sus actividades ordinarias permanentes se fijará anualmente</w:t>
      </w:r>
      <w:r w:rsidRPr="00835574">
        <w:rPr>
          <w:rFonts w:cstheme="minorHAnsi"/>
          <w:bCs/>
          <w:vertAlign w:val="superscript"/>
        </w:rPr>
        <w:footnoteReference w:id="22"/>
      </w:r>
      <w:r w:rsidRPr="00835574">
        <w:rPr>
          <w:rFonts w:cstheme="minorHAnsi"/>
          <w:bCs/>
          <w:vertAlign w:val="superscript"/>
        </w:rPr>
        <w:t xml:space="preserve"> </w:t>
      </w:r>
      <w:r w:rsidRPr="00835574">
        <w:rPr>
          <w:rFonts w:cstheme="minorHAnsi"/>
          <w:bCs/>
        </w:rPr>
        <w:t>:</w:t>
      </w:r>
    </w:p>
    <w:p w14:paraId="0FCB9191" w14:textId="77777777" w:rsidR="00635654" w:rsidRPr="00835574" w:rsidRDefault="00635654" w:rsidP="00635654">
      <w:pPr>
        <w:pStyle w:val="Sinespaciado"/>
        <w:ind w:left="720"/>
        <w:jc w:val="both"/>
        <w:rPr>
          <w:rFonts w:cstheme="minorHAnsi"/>
          <w:bCs/>
        </w:rPr>
      </w:pPr>
    </w:p>
    <w:p w14:paraId="0F9C1F80" w14:textId="77777777" w:rsidR="00635654" w:rsidRPr="00835574" w:rsidRDefault="00635654" w:rsidP="00635654">
      <w:pPr>
        <w:pStyle w:val="Sinespaciado"/>
        <w:ind w:left="720"/>
        <w:jc w:val="both"/>
        <w:rPr>
          <w:rFonts w:cstheme="minorHAnsi"/>
          <w:bCs/>
        </w:rPr>
      </w:pPr>
      <w:r w:rsidRPr="00835574">
        <w:rPr>
          <w:rFonts w:cstheme="minorHAnsi"/>
          <w:bCs/>
        </w:rPr>
        <w:t>Multiplicando el número total de ciudadanos inscritos en el padrón electoral de la Entidad, el cual se considera al 31 de julio del año en curso, lo anterior en términos de lo manifestado en el artículo 51 de la Ley General de Partidos políticos, el padrón asciende a un total de 2,995,780 personas registradas; por el 65 por ciento del valor diario de la Unidad de Medida y Actualización (UMA), esto de acuerdo al comunicado emitido por el INEGI, por el que da a conocer la Unidad de Medida para el año dos mil veintiuno en $96.22 (noventa y seis pesos 22/100 M.N.)</w:t>
      </w:r>
      <w:r w:rsidRPr="00835574">
        <w:rPr>
          <w:rStyle w:val="Refdenotaalpie"/>
          <w:rFonts w:cstheme="minorHAnsi"/>
          <w:bCs/>
        </w:rPr>
        <w:footnoteReference w:id="23"/>
      </w:r>
    </w:p>
    <w:p w14:paraId="73713156" w14:textId="77777777" w:rsidR="00635654" w:rsidRPr="00835574" w:rsidRDefault="00635654" w:rsidP="00635654">
      <w:pPr>
        <w:pStyle w:val="Sinespaciado"/>
        <w:ind w:left="720"/>
        <w:jc w:val="both"/>
        <w:rPr>
          <w:rFonts w:cstheme="minorHAnsi"/>
          <w:bCs/>
        </w:rPr>
      </w:pPr>
    </w:p>
    <w:p w14:paraId="587EA727" w14:textId="77777777" w:rsidR="00635654" w:rsidRPr="00835574" w:rsidRDefault="00635654" w:rsidP="00635654">
      <w:pPr>
        <w:pStyle w:val="Sinespaciado"/>
        <w:ind w:left="720"/>
        <w:jc w:val="both"/>
        <w:rPr>
          <w:rFonts w:cstheme="minorHAnsi"/>
          <w:bCs/>
        </w:rPr>
      </w:pPr>
      <w:r w:rsidRPr="00835574">
        <w:rPr>
          <w:rFonts w:cstheme="minorHAnsi"/>
          <w:bCs/>
        </w:rPr>
        <w:t>El 30 por ciento de la cantidad que resulte de acuerdo a lo señalado anteriormente, se distribuirá entre los partidos políticos en forma igualitaria y el 70 por ciento restantes de acuerdo con el porcentaje de votos que hubieren obtenido en la elección de diputados inmediata anterior.</w:t>
      </w:r>
    </w:p>
    <w:p w14:paraId="0DDF6733" w14:textId="77777777" w:rsidR="00635654" w:rsidRPr="00835574" w:rsidRDefault="00635654" w:rsidP="00635654">
      <w:pPr>
        <w:pStyle w:val="Sinespaciado"/>
        <w:ind w:left="720"/>
        <w:jc w:val="both"/>
        <w:rPr>
          <w:rFonts w:cstheme="minorHAnsi"/>
          <w:bCs/>
        </w:rPr>
      </w:pPr>
    </w:p>
    <w:p w14:paraId="4E86D5CF" w14:textId="77777777" w:rsidR="00635654" w:rsidRPr="00835574" w:rsidRDefault="00635654" w:rsidP="00635654">
      <w:pPr>
        <w:pStyle w:val="Sinespaciado"/>
        <w:jc w:val="both"/>
        <w:rPr>
          <w:rFonts w:cstheme="minorHAnsi"/>
          <w:bCs/>
        </w:rPr>
      </w:pPr>
      <w:r w:rsidRPr="00835574">
        <w:rPr>
          <w:rFonts w:cstheme="minorHAnsi"/>
          <w:bCs/>
        </w:rPr>
        <w:t xml:space="preserve">Por lo que, dando cumplimiento a la Carta Magna y a lo establecido en los artículos 50 y 51 de la Ley General de Partidos Políticos, se determina el cálculo correspondiente a las cifras para el financiamiento público, para las actividades ordinarias de los partidos políticos correspondientes para el ejercicio 2023, de acuerdo al siguiente detalle: </w:t>
      </w:r>
    </w:p>
    <w:p w14:paraId="25C54E94" w14:textId="77777777" w:rsidR="00635654" w:rsidRPr="00835574" w:rsidRDefault="00635654" w:rsidP="00635654">
      <w:pPr>
        <w:pStyle w:val="Sinespaciado"/>
        <w:ind w:left="720"/>
        <w:jc w:val="both"/>
        <w:rPr>
          <w:rFonts w:cstheme="minorHAnsi"/>
          <w:bCs/>
        </w:rPr>
      </w:pPr>
    </w:p>
    <w:tbl>
      <w:tblPr>
        <w:tblW w:w="5000" w:type="pct"/>
        <w:jc w:val="center"/>
        <w:tblCellMar>
          <w:left w:w="70" w:type="dxa"/>
          <w:right w:w="70" w:type="dxa"/>
        </w:tblCellMar>
        <w:tblLook w:val="04A0" w:firstRow="1" w:lastRow="0" w:firstColumn="1" w:lastColumn="0" w:noHBand="0" w:noVBand="1"/>
      </w:tblPr>
      <w:tblGrid>
        <w:gridCol w:w="2688"/>
        <w:gridCol w:w="2331"/>
        <w:gridCol w:w="1072"/>
        <w:gridCol w:w="2737"/>
      </w:tblGrid>
      <w:tr w:rsidR="00835574" w:rsidRPr="00835574" w14:paraId="1E4A4A30" w14:textId="77777777" w:rsidTr="009F17D2">
        <w:trPr>
          <w:trHeight w:val="784"/>
          <w:jc w:val="center"/>
        </w:trPr>
        <w:tc>
          <w:tcPr>
            <w:tcW w:w="152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D643838" w14:textId="7BDD1E6F" w:rsidR="00635654" w:rsidRPr="00835574" w:rsidRDefault="00635654" w:rsidP="005D4CEE">
            <w:pPr>
              <w:pStyle w:val="Sinespaciado"/>
              <w:jc w:val="center"/>
              <w:rPr>
                <w:rFonts w:cstheme="minorHAnsi"/>
                <w:b/>
                <w:bCs/>
              </w:rPr>
            </w:pPr>
            <w:r w:rsidRPr="00DD1A79">
              <w:rPr>
                <w:rFonts w:cstheme="minorHAnsi"/>
                <w:b/>
                <w:bCs/>
              </w:rPr>
              <w:lastRenderedPageBreak/>
              <w:t xml:space="preserve">Padrón Electoral </w:t>
            </w:r>
            <w:r w:rsidR="00F745E3" w:rsidRPr="00DD1A79">
              <w:rPr>
                <w:rFonts w:cstheme="minorHAnsi"/>
                <w:b/>
                <w:bCs/>
              </w:rPr>
              <w:t>E</w:t>
            </w:r>
            <w:r w:rsidRPr="00DD1A79">
              <w:rPr>
                <w:rFonts w:cstheme="minorHAnsi"/>
                <w:b/>
                <w:bCs/>
              </w:rPr>
              <w:t>statal (31 de julio 202</w:t>
            </w:r>
            <w:r w:rsidR="004B783B" w:rsidRPr="00DD1A79">
              <w:rPr>
                <w:rFonts w:cstheme="minorHAnsi"/>
                <w:b/>
                <w:bCs/>
              </w:rPr>
              <w:t>2</w:t>
            </w:r>
            <w:r w:rsidRPr="00DD1A79">
              <w:rPr>
                <w:rFonts w:cstheme="minorHAnsi"/>
                <w:b/>
                <w:bCs/>
              </w:rPr>
              <w:t>)</w:t>
            </w:r>
          </w:p>
        </w:tc>
        <w:tc>
          <w:tcPr>
            <w:tcW w:w="1320" w:type="pct"/>
            <w:tcBorders>
              <w:top w:val="single" w:sz="4" w:space="0" w:color="auto"/>
              <w:left w:val="nil"/>
              <w:bottom w:val="single" w:sz="4" w:space="0" w:color="auto"/>
              <w:right w:val="single" w:sz="4" w:space="0" w:color="auto"/>
            </w:tcBorders>
            <w:shd w:val="clear" w:color="auto" w:fill="D9D9D9"/>
            <w:vAlign w:val="center"/>
            <w:hideMark/>
          </w:tcPr>
          <w:p w14:paraId="28CD7584" w14:textId="70337805" w:rsidR="00635654" w:rsidRPr="00835574" w:rsidRDefault="00635654" w:rsidP="005D4CEE">
            <w:pPr>
              <w:pStyle w:val="Sinespaciado"/>
              <w:jc w:val="center"/>
              <w:rPr>
                <w:rFonts w:cstheme="minorHAnsi"/>
                <w:b/>
                <w:bCs/>
              </w:rPr>
            </w:pPr>
            <w:r w:rsidRPr="00835574">
              <w:rPr>
                <w:rFonts w:cstheme="minorHAnsi"/>
                <w:b/>
                <w:bCs/>
              </w:rPr>
              <w:t>Unidad de Medida y Actualización 202</w:t>
            </w:r>
            <w:r w:rsidR="004B783B" w:rsidRPr="00835574">
              <w:rPr>
                <w:rFonts w:cstheme="minorHAnsi"/>
                <w:b/>
                <w:bCs/>
              </w:rPr>
              <w:t>2</w:t>
            </w:r>
          </w:p>
        </w:tc>
        <w:tc>
          <w:tcPr>
            <w:tcW w:w="607" w:type="pct"/>
            <w:tcBorders>
              <w:top w:val="single" w:sz="4" w:space="0" w:color="auto"/>
              <w:left w:val="nil"/>
              <w:bottom w:val="single" w:sz="4" w:space="0" w:color="auto"/>
              <w:right w:val="single" w:sz="4" w:space="0" w:color="auto"/>
            </w:tcBorders>
            <w:shd w:val="clear" w:color="auto" w:fill="D9D9D9"/>
            <w:vAlign w:val="center"/>
            <w:hideMark/>
          </w:tcPr>
          <w:p w14:paraId="6D221321" w14:textId="77777777" w:rsidR="00635654" w:rsidRPr="00835574" w:rsidRDefault="00635654" w:rsidP="005D4CEE">
            <w:pPr>
              <w:pStyle w:val="Sinespaciado"/>
              <w:jc w:val="center"/>
              <w:rPr>
                <w:rFonts w:cstheme="minorHAnsi"/>
                <w:b/>
                <w:bCs/>
              </w:rPr>
            </w:pPr>
            <w:r w:rsidRPr="00835574">
              <w:rPr>
                <w:rFonts w:cstheme="minorHAnsi"/>
                <w:b/>
                <w:bCs/>
              </w:rPr>
              <w:t>65% UMA</w:t>
            </w:r>
          </w:p>
        </w:tc>
        <w:tc>
          <w:tcPr>
            <w:tcW w:w="1550" w:type="pct"/>
            <w:tcBorders>
              <w:top w:val="single" w:sz="4" w:space="0" w:color="auto"/>
              <w:left w:val="nil"/>
              <w:bottom w:val="single" w:sz="4" w:space="0" w:color="auto"/>
              <w:right w:val="single" w:sz="4" w:space="0" w:color="auto"/>
            </w:tcBorders>
            <w:shd w:val="clear" w:color="auto" w:fill="D9D9D9"/>
            <w:vAlign w:val="center"/>
            <w:hideMark/>
          </w:tcPr>
          <w:p w14:paraId="4F44D272" w14:textId="18134150" w:rsidR="00635654" w:rsidRPr="00835574" w:rsidRDefault="00635654" w:rsidP="005D4CEE">
            <w:pPr>
              <w:pStyle w:val="Sinespaciado"/>
              <w:jc w:val="center"/>
              <w:rPr>
                <w:rFonts w:cstheme="minorHAnsi"/>
                <w:b/>
                <w:bCs/>
              </w:rPr>
            </w:pPr>
            <w:r w:rsidRPr="00835574">
              <w:rPr>
                <w:rFonts w:cstheme="minorHAnsi"/>
                <w:b/>
                <w:bCs/>
              </w:rPr>
              <w:t>Financiamiento para Actividades Ordinarias</w:t>
            </w:r>
            <w:r w:rsidR="005D4CEE" w:rsidRPr="00835574">
              <w:rPr>
                <w:rFonts w:cstheme="minorHAnsi"/>
                <w:b/>
                <w:bCs/>
              </w:rPr>
              <w:t xml:space="preserve"> Permanente 2023</w:t>
            </w:r>
          </w:p>
        </w:tc>
      </w:tr>
      <w:tr w:rsidR="00635654" w:rsidRPr="00835574" w14:paraId="3F93C309" w14:textId="77777777" w:rsidTr="009F17D2">
        <w:trPr>
          <w:trHeight w:val="373"/>
          <w:jc w:val="center"/>
        </w:trPr>
        <w:tc>
          <w:tcPr>
            <w:tcW w:w="1522" w:type="pct"/>
            <w:tcBorders>
              <w:top w:val="nil"/>
              <w:left w:val="single" w:sz="4" w:space="0" w:color="auto"/>
              <w:bottom w:val="single" w:sz="4" w:space="0" w:color="auto"/>
              <w:right w:val="single" w:sz="4" w:space="0" w:color="auto"/>
            </w:tcBorders>
            <w:noWrap/>
            <w:vAlign w:val="center"/>
            <w:hideMark/>
          </w:tcPr>
          <w:p w14:paraId="230CE70F" w14:textId="77777777" w:rsidR="00635654" w:rsidRPr="00835574" w:rsidRDefault="00635654" w:rsidP="00B17DF0">
            <w:pPr>
              <w:pStyle w:val="Sinespaciado"/>
              <w:jc w:val="center"/>
              <w:rPr>
                <w:rFonts w:cstheme="minorHAnsi"/>
              </w:rPr>
            </w:pPr>
            <w:r w:rsidRPr="00835574">
              <w:rPr>
                <w:rFonts w:cstheme="minorHAnsi"/>
              </w:rPr>
              <w:t>2,995,780</w:t>
            </w:r>
          </w:p>
        </w:tc>
        <w:tc>
          <w:tcPr>
            <w:tcW w:w="1320" w:type="pct"/>
            <w:tcBorders>
              <w:top w:val="nil"/>
              <w:left w:val="nil"/>
              <w:bottom w:val="single" w:sz="4" w:space="0" w:color="auto"/>
              <w:right w:val="single" w:sz="4" w:space="0" w:color="auto"/>
            </w:tcBorders>
            <w:noWrap/>
            <w:vAlign w:val="center"/>
            <w:hideMark/>
          </w:tcPr>
          <w:p w14:paraId="4108F933" w14:textId="77777777" w:rsidR="00635654" w:rsidRPr="00835574" w:rsidRDefault="00635654" w:rsidP="00B17DF0">
            <w:pPr>
              <w:pStyle w:val="Sinespaciado"/>
              <w:jc w:val="center"/>
              <w:rPr>
                <w:rFonts w:cstheme="minorHAnsi"/>
              </w:rPr>
            </w:pPr>
            <w:r w:rsidRPr="00835574">
              <w:rPr>
                <w:rFonts w:cstheme="minorHAnsi"/>
              </w:rPr>
              <w:t>96.22</w:t>
            </w:r>
          </w:p>
        </w:tc>
        <w:tc>
          <w:tcPr>
            <w:tcW w:w="607" w:type="pct"/>
            <w:tcBorders>
              <w:top w:val="nil"/>
              <w:left w:val="nil"/>
              <w:bottom w:val="single" w:sz="4" w:space="0" w:color="auto"/>
              <w:right w:val="single" w:sz="4" w:space="0" w:color="auto"/>
            </w:tcBorders>
            <w:noWrap/>
            <w:vAlign w:val="center"/>
            <w:hideMark/>
          </w:tcPr>
          <w:p w14:paraId="104CEFB3" w14:textId="77777777" w:rsidR="00635654" w:rsidRPr="00835574" w:rsidRDefault="00635654" w:rsidP="00B17DF0">
            <w:pPr>
              <w:pStyle w:val="Sinespaciado"/>
              <w:jc w:val="center"/>
              <w:rPr>
                <w:rFonts w:cstheme="minorHAnsi"/>
              </w:rPr>
            </w:pPr>
            <w:r w:rsidRPr="00835574">
              <w:rPr>
                <w:rFonts w:cstheme="minorHAnsi"/>
              </w:rPr>
              <w:t>62.54</w:t>
            </w:r>
          </w:p>
        </w:tc>
        <w:tc>
          <w:tcPr>
            <w:tcW w:w="1550" w:type="pct"/>
            <w:tcBorders>
              <w:top w:val="nil"/>
              <w:left w:val="nil"/>
              <w:bottom w:val="single" w:sz="4" w:space="0" w:color="auto"/>
              <w:right w:val="single" w:sz="4" w:space="0" w:color="auto"/>
            </w:tcBorders>
            <w:noWrap/>
            <w:vAlign w:val="center"/>
            <w:hideMark/>
          </w:tcPr>
          <w:p w14:paraId="72945528" w14:textId="77777777" w:rsidR="00635654" w:rsidRPr="00835574" w:rsidRDefault="00635654" w:rsidP="00B17DF0">
            <w:pPr>
              <w:pStyle w:val="Sinespaciado"/>
              <w:jc w:val="center"/>
              <w:rPr>
                <w:rFonts w:cstheme="minorHAnsi"/>
              </w:rPr>
            </w:pPr>
            <w:r w:rsidRPr="00835574">
              <w:rPr>
                <w:rFonts w:cstheme="minorHAnsi"/>
              </w:rPr>
              <w:t>$187,356,081.20</w:t>
            </w:r>
          </w:p>
        </w:tc>
      </w:tr>
    </w:tbl>
    <w:p w14:paraId="22AE1281" w14:textId="77777777" w:rsidR="00635654" w:rsidRPr="00835574" w:rsidRDefault="00635654" w:rsidP="00635654">
      <w:pPr>
        <w:pStyle w:val="Sinespaciado"/>
        <w:jc w:val="both"/>
        <w:rPr>
          <w:rFonts w:cstheme="minorHAnsi"/>
        </w:rPr>
      </w:pPr>
    </w:p>
    <w:p w14:paraId="0B08975D" w14:textId="78E10A6A" w:rsidR="00635654" w:rsidRPr="00835574" w:rsidRDefault="00635654" w:rsidP="00635654">
      <w:pPr>
        <w:pStyle w:val="Sinespaciado"/>
        <w:jc w:val="both"/>
        <w:rPr>
          <w:rFonts w:cstheme="minorHAnsi"/>
        </w:rPr>
      </w:pPr>
      <w:r w:rsidRPr="00835574">
        <w:rPr>
          <w:rFonts w:cstheme="minorHAnsi"/>
        </w:rPr>
        <w:t>Siguiendo con lo establecido por el artículo 41 Constitucional</w:t>
      </w:r>
      <w:r w:rsidRPr="00835574">
        <w:rPr>
          <w:rFonts w:cstheme="minorHAnsi"/>
          <w:vertAlign w:val="superscript"/>
        </w:rPr>
        <w:footnoteReference w:id="24"/>
      </w:r>
      <w:r w:rsidRPr="00835574">
        <w:rPr>
          <w:rFonts w:cstheme="minorHAnsi"/>
        </w:rPr>
        <w:t xml:space="preserve">: </w:t>
      </w:r>
    </w:p>
    <w:p w14:paraId="63A37C9C" w14:textId="77777777" w:rsidR="00635654" w:rsidRPr="00835574" w:rsidRDefault="00635654" w:rsidP="00635654">
      <w:pPr>
        <w:pStyle w:val="Sinespaciado"/>
        <w:jc w:val="both"/>
        <w:rPr>
          <w:rFonts w:cstheme="minorHAnsi"/>
        </w:rPr>
      </w:pPr>
    </w:p>
    <w:p w14:paraId="11F064DC" w14:textId="77777777" w:rsidR="00635654" w:rsidRPr="00835574" w:rsidRDefault="00635654" w:rsidP="00635654">
      <w:pPr>
        <w:pStyle w:val="Sinespaciado"/>
        <w:jc w:val="both"/>
        <w:rPr>
          <w:rFonts w:cstheme="minorHAnsi"/>
        </w:rPr>
      </w:pPr>
      <w:r w:rsidRPr="00835574">
        <w:rPr>
          <w:rFonts w:cstheme="minorHAnsi"/>
        </w:rPr>
        <w:t xml:space="preserve">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por lo que dicha cantidad se desglosa de la siguiente manera: </w:t>
      </w:r>
    </w:p>
    <w:p w14:paraId="4E5A0CE2" w14:textId="77777777" w:rsidR="00635654" w:rsidRPr="00835574" w:rsidRDefault="00635654" w:rsidP="00635654">
      <w:pPr>
        <w:pStyle w:val="Sinespaciado"/>
        <w:jc w:val="both"/>
        <w:rPr>
          <w:rFonts w:cstheme="minorHAnsi"/>
        </w:rPr>
      </w:pPr>
    </w:p>
    <w:tbl>
      <w:tblPr>
        <w:tblW w:w="5807" w:type="dxa"/>
        <w:jc w:val="center"/>
        <w:tblCellMar>
          <w:left w:w="70" w:type="dxa"/>
          <w:right w:w="70" w:type="dxa"/>
        </w:tblCellMar>
        <w:tblLook w:val="04A0" w:firstRow="1" w:lastRow="0" w:firstColumn="1" w:lastColumn="0" w:noHBand="0" w:noVBand="1"/>
      </w:tblPr>
      <w:tblGrid>
        <w:gridCol w:w="3165"/>
        <w:gridCol w:w="2642"/>
      </w:tblGrid>
      <w:tr w:rsidR="00835574" w:rsidRPr="00835574" w14:paraId="48314D2A" w14:textId="77777777" w:rsidTr="005D4CEE">
        <w:trPr>
          <w:trHeight w:val="537"/>
          <w:jc w:val="center"/>
        </w:trPr>
        <w:tc>
          <w:tcPr>
            <w:tcW w:w="31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D2672" w14:textId="77777777" w:rsidR="00635654" w:rsidRPr="00835574" w:rsidRDefault="00635654" w:rsidP="005D4CEE">
            <w:pPr>
              <w:pStyle w:val="Sinespaciado"/>
              <w:jc w:val="center"/>
              <w:rPr>
                <w:rFonts w:cstheme="minorHAnsi"/>
                <w:b/>
                <w:bCs/>
                <w:lang w:eastAsia="es-ES"/>
              </w:rPr>
            </w:pPr>
            <w:r w:rsidRPr="00835574">
              <w:rPr>
                <w:rFonts w:cstheme="minorHAnsi"/>
                <w:b/>
                <w:bCs/>
                <w:lang w:eastAsia="es-ES"/>
              </w:rPr>
              <w:t>Financiamiento para Actividades Ordinarias</w:t>
            </w:r>
          </w:p>
        </w:tc>
        <w:tc>
          <w:tcPr>
            <w:tcW w:w="2642" w:type="dxa"/>
            <w:tcBorders>
              <w:top w:val="single" w:sz="4" w:space="0" w:color="auto"/>
              <w:left w:val="nil"/>
              <w:bottom w:val="single" w:sz="4" w:space="0" w:color="auto"/>
              <w:right w:val="single" w:sz="4" w:space="0" w:color="auto"/>
            </w:tcBorders>
            <w:shd w:val="clear" w:color="auto" w:fill="D9D9D9"/>
            <w:vAlign w:val="center"/>
            <w:hideMark/>
          </w:tcPr>
          <w:p w14:paraId="60A8D647" w14:textId="77777777" w:rsidR="00635654" w:rsidRPr="00835574" w:rsidRDefault="00635654" w:rsidP="005D4CEE">
            <w:pPr>
              <w:pStyle w:val="Sinespaciado"/>
              <w:jc w:val="center"/>
              <w:rPr>
                <w:rFonts w:cstheme="minorHAnsi"/>
                <w:b/>
                <w:bCs/>
                <w:lang w:eastAsia="es-ES"/>
              </w:rPr>
            </w:pPr>
            <w:r w:rsidRPr="00835574">
              <w:rPr>
                <w:rFonts w:cstheme="minorHAnsi"/>
                <w:b/>
                <w:bCs/>
                <w:lang w:eastAsia="es-ES"/>
              </w:rPr>
              <w:t>Actividades Específicas 3%</w:t>
            </w:r>
          </w:p>
        </w:tc>
      </w:tr>
      <w:tr w:rsidR="00635654" w:rsidRPr="00835574" w14:paraId="78014535" w14:textId="77777777" w:rsidTr="009F17D2">
        <w:trPr>
          <w:trHeight w:val="438"/>
          <w:jc w:val="center"/>
        </w:trPr>
        <w:tc>
          <w:tcPr>
            <w:tcW w:w="3165" w:type="dxa"/>
            <w:tcBorders>
              <w:top w:val="nil"/>
              <w:left w:val="single" w:sz="4" w:space="0" w:color="auto"/>
              <w:bottom w:val="single" w:sz="4" w:space="0" w:color="auto"/>
              <w:right w:val="single" w:sz="4" w:space="0" w:color="auto"/>
            </w:tcBorders>
            <w:noWrap/>
            <w:vAlign w:val="center"/>
            <w:hideMark/>
          </w:tcPr>
          <w:p w14:paraId="266A2943" w14:textId="77777777" w:rsidR="00635654" w:rsidRPr="00835574" w:rsidRDefault="00635654" w:rsidP="008C4FB4">
            <w:pPr>
              <w:pStyle w:val="Sinespaciado"/>
              <w:jc w:val="center"/>
              <w:rPr>
                <w:rFonts w:cstheme="minorHAnsi"/>
                <w:lang w:eastAsia="es-ES"/>
              </w:rPr>
            </w:pPr>
            <w:r w:rsidRPr="00835574">
              <w:rPr>
                <w:rFonts w:cstheme="minorHAnsi"/>
                <w:lang w:eastAsia="es-ES"/>
              </w:rPr>
              <w:t>$187,356,081.20</w:t>
            </w:r>
          </w:p>
        </w:tc>
        <w:tc>
          <w:tcPr>
            <w:tcW w:w="2642" w:type="dxa"/>
            <w:tcBorders>
              <w:top w:val="nil"/>
              <w:left w:val="nil"/>
              <w:bottom w:val="single" w:sz="4" w:space="0" w:color="auto"/>
              <w:right w:val="single" w:sz="4" w:space="0" w:color="auto"/>
            </w:tcBorders>
            <w:noWrap/>
            <w:vAlign w:val="center"/>
            <w:hideMark/>
          </w:tcPr>
          <w:p w14:paraId="51BDC37C" w14:textId="77777777" w:rsidR="00635654" w:rsidRPr="00835574" w:rsidRDefault="00635654" w:rsidP="008C4FB4">
            <w:pPr>
              <w:pStyle w:val="Sinespaciado"/>
              <w:jc w:val="center"/>
              <w:rPr>
                <w:rFonts w:cstheme="minorHAnsi"/>
                <w:lang w:eastAsia="es-ES"/>
              </w:rPr>
            </w:pPr>
            <w:r w:rsidRPr="00835574">
              <w:rPr>
                <w:rFonts w:cstheme="minorHAnsi"/>
                <w:lang w:eastAsia="es-ES"/>
              </w:rPr>
              <w:t>$5,620,682.44</w:t>
            </w:r>
          </w:p>
        </w:tc>
      </w:tr>
    </w:tbl>
    <w:p w14:paraId="63C9084C" w14:textId="77777777" w:rsidR="00635654" w:rsidRPr="00835574" w:rsidRDefault="00635654" w:rsidP="00635654">
      <w:pPr>
        <w:pStyle w:val="Sinespaciado"/>
        <w:jc w:val="both"/>
        <w:rPr>
          <w:rFonts w:eastAsia="Times New Roman" w:cstheme="minorHAnsi"/>
          <w:bCs/>
          <w:lang w:val="es-ES" w:eastAsia="es-ES"/>
        </w:rPr>
      </w:pPr>
    </w:p>
    <w:p w14:paraId="32504A2A" w14:textId="77777777" w:rsidR="00635654" w:rsidRPr="00835574" w:rsidRDefault="00635654" w:rsidP="00635654">
      <w:pPr>
        <w:pStyle w:val="Sinespaciado"/>
        <w:jc w:val="both"/>
        <w:rPr>
          <w:rFonts w:cstheme="minorHAnsi"/>
        </w:rPr>
      </w:pPr>
      <w:r w:rsidRPr="00835574">
        <w:rPr>
          <w:rFonts w:cstheme="minorHAnsi"/>
        </w:rPr>
        <w:t>Así mismo, con la finalidad de organizar el proceso electoral alineado a los principios de certeza, legalidad, independencia, imparcialidad, interculturalidad, máxima publicidad y objetividad, que contribuya al desarrollo de la vida democrática del Estado, se asignan al Instituto Estatal Electoral y de Participación Ciudadana de Oaxaca, 15,000,000.00 (QUINCE MILLONES DE PESOS 00/100 M.N) para los trabajos inherentes al inicio del proceso electoral 2024.</w:t>
      </w:r>
    </w:p>
    <w:p w14:paraId="762A1F2D" w14:textId="77777777" w:rsidR="00E55CB3" w:rsidRPr="00835574" w:rsidRDefault="00E55CB3" w:rsidP="00421E8E">
      <w:pPr>
        <w:pStyle w:val="Sinespaciado"/>
        <w:jc w:val="both"/>
        <w:rPr>
          <w:b/>
          <w:bCs/>
        </w:rPr>
      </w:pPr>
    </w:p>
    <w:p w14:paraId="6C7D02B6" w14:textId="50CB50E8" w:rsidR="00635654" w:rsidRPr="00835574" w:rsidRDefault="00635654" w:rsidP="00635654">
      <w:pPr>
        <w:pStyle w:val="Sinespaciado"/>
        <w:rPr>
          <w:b/>
          <w:bCs/>
        </w:rPr>
      </w:pPr>
      <w:r w:rsidRPr="00835574">
        <w:rPr>
          <w:b/>
          <w:bCs/>
        </w:rPr>
        <w:t>CONSIDERACIONES ADICIONALES</w:t>
      </w:r>
    </w:p>
    <w:p w14:paraId="22EBA98D" w14:textId="45D454D3" w:rsidR="002C6704" w:rsidRPr="00835574" w:rsidRDefault="002C6704" w:rsidP="00635654">
      <w:pPr>
        <w:pStyle w:val="Sinespaciado"/>
        <w:rPr>
          <w:b/>
          <w:bCs/>
        </w:rPr>
      </w:pPr>
    </w:p>
    <w:p w14:paraId="532DBDD6" w14:textId="77777777" w:rsidR="002C6704" w:rsidRPr="00835574" w:rsidRDefault="002C6704">
      <w:pPr>
        <w:pStyle w:val="Sinespaciado1"/>
        <w:numPr>
          <w:ilvl w:val="0"/>
          <w:numId w:val="27"/>
        </w:numPr>
        <w:jc w:val="both"/>
        <w:rPr>
          <w:rFonts w:cs="Calibri"/>
        </w:rPr>
      </w:pPr>
      <w:r w:rsidRPr="00835574">
        <w:rPr>
          <w:rFonts w:cs="Calibri"/>
        </w:rPr>
        <w:t>De las remuneraciones de los servidores públicos</w:t>
      </w:r>
    </w:p>
    <w:p w14:paraId="1CD89D93" w14:textId="77777777" w:rsidR="002C6704" w:rsidRPr="00835574" w:rsidRDefault="002C6704" w:rsidP="002C6704">
      <w:pPr>
        <w:pStyle w:val="Sinespaciado1"/>
        <w:ind w:left="720"/>
        <w:jc w:val="both"/>
        <w:rPr>
          <w:rFonts w:cs="Calibri"/>
        </w:rPr>
      </w:pPr>
    </w:p>
    <w:p w14:paraId="3D21DA48" w14:textId="77777777" w:rsidR="002C6704" w:rsidRPr="00835574" w:rsidRDefault="002C6704" w:rsidP="002C6704">
      <w:pPr>
        <w:pStyle w:val="Sinespaciado1"/>
        <w:ind w:left="720"/>
        <w:jc w:val="both"/>
        <w:rPr>
          <w:rFonts w:cs="Calibri"/>
        </w:rPr>
      </w:pPr>
      <w:r w:rsidRPr="00835574">
        <w:rPr>
          <w:rFonts w:cs="Calibri"/>
        </w:rPr>
        <w:t>Los Ejecutores de gasto, en el marco de la autonomía presupuestaria otorgada a través de la Constitución Política del Estado Libre y Soberano de Oaxaca o en la disposiciones expresas en las leyes de su creación, así como lo dispuesto en el artículo 8 Bis de la Ley Estatal de Presupuesto y Responsabilidad Hacendaria, podrán aprobar de acuerdo a su disponibilidad presupuestaria, el tabulador de sueldos y salarios en el que se señalen los valores monetarios que deben corresponder a las diferentes categorías y niveles de puestos.</w:t>
      </w:r>
    </w:p>
    <w:p w14:paraId="56BFD9BE" w14:textId="77777777" w:rsidR="002C6704" w:rsidRPr="00835574" w:rsidRDefault="002C6704" w:rsidP="002C6704">
      <w:pPr>
        <w:pStyle w:val="Sinespaciado1"/>
        <w:ind w:left="720"/>
        <w:jc w:val="both"/>
        <w:rPr>
          <w:rFonts w:cs="Calibri"/>
        </w:rPr>
      </w:pPr>
    </w:p>
    <w:p w14:paraId="191122D8" w14:textId="77777777" w:rsidR="002C6704" w:rsidRPr="00835574" w:rsidRDefault="002C6704" w:rsidP="002C6704">
      <w:pPr>
        <w:pStyle w:val="Sinespaciado1"/>
        <w:ind w:left="720"/>
        <w:jc w:val="both"/>
        <w:rPr>
          <w:rFonts w:cs="Calibri"/>
        </w:rPr>
      </w:pPr>
      <w:r w:rsidRPr="00835574">
        <w:rPr>
          <w:rFonts w:cs="Calibri"/>
        </w:rPr>
        <w:t>Sin embargo, se precisa que, con fundamento en el artículo 138 fracción II de la Constitución Política del Estado Libre y Soberano de Oaxaca, ningún servidor público podrá recibir remuneración, por el desempeño de su función, empleo, cargo o comisión, mayor a la establecida para el Gobernador del Estado.</w:t>
      </w:r>
    </w:p>
    <w:p w14:paraId="4172839F" w14:textId="77777777" w:rsidR="002C6704" w:rsidRPr="00835574" w:rsidRDefault="002C6704" w:rsidP="002C6704">
      <w:pPr>
        <w:pStyle w:val="Sinespaciado1"/>
        <w:ind w:left="720"/>
        <w:jc w:val="both"/>
        <w:rPr>
          <w:rFonts w:cs="Calibri"/>
        </w:rPr>
      </w:pPr>
    </w:p>
    <w:p w14:paraId="61304BB8" w14:textId="77777777" w:rsidR="002C6704" w:rsidRPr="00835574" w:rsidRDefault="002C6704" w:rsidP="002C6704">
      <w:pPr>
        <w:pStyle w:val="Sinespaciado1"/>
        <w:ind w:left="720"/>
        <w:jc w:val="both"/>
        <w:rPr>
          <w:rFonts w:cs="Calibri"/>
        </w:rPr>
      </w:pPr>
      <w:r w:rsidRPr="00835574">
        <w:rPr>
          <w:rFonts w:cs="Calibri"/>
        </w:rPr>
        <w:lastRenderedPageBreak/>
        <w:t>La Secretaría de Administración, en el ámbito de sus atribuciones, al validar los tabuladores de sueldos y salarios que los Ejecutores de gasto envían a la Secretaría de Finanzas en términos de lo dispuesto en los artículos 61 de la Constitución Política del Estado Libre y Soberano de Oaxaca y; 5 inciso a) de la Ley Estatal de Presupuesto y Responsabilidad Hacendaria, deberá revisar que las percepciones señaladas en los tabuladores de sueldos y salarios de los Ejecutores de gasto que norma y regula, se encuentren por debajo del techo establecido en la Constitución.</w:t>
      </w:r>
    </w:p>
    <w:p w14:paraId="14D5AD56" w14:textId="77777777" w:rsidR="002C6704" w:rsidRPr="00835574" w:rsidRDefault="002C6704" w:rsidP="002C6704">
      <w:pPr>
        <w:pStyle w:val="Sinespaciado1"/>
        <w:ind w:left="720"/>
        <w:jc w:val="both"/>
        <w:rPr>
          <w:rFonts w:cs="Calibri"/>
        </w:rPr>
      </w:pPr>
    </w:p>
    <w:p w14:paraId="64676766" w14:textId="77777777" w:rsidR="002C6704" w:rsidRPr="00835574" w:rsidRDefault="002C6704" w:rsidP="002C6704">
      <w:pPr>
        <w:pStyle w:val="Sinespaciado1"/>
        <w:ind w:left="720"/>
        <w:jc w:val="both"/>
        <w:rPr>
          <w:rFonts w:cs="Calibri"/>
        </w:rPr>
      </w:pPr>
      <w:r w:rsidRPr="00835574">
        <w:rPr>
          <w:rFonts w:cs="Calibri"/>
        </w:rPr>
        <w:t>El Poder Legislativo y Judicial, así como los Órganos Autónomos, deberán observar en la integración de sus respectivos tabuladores de sueldos y salarios, lo dispuesto en la Constitución Política del Estado Libre y Soberano de Oaxaca.</w:t>
      </w:r>
    </w:p>
    <w:p w14:paraId="12DDFA07" w14:textId="77777777" w:rsidR="00635654" w:rsidRPr="00835574" w:rsidRDefault="00635654" w:rsidP="00A359E5">
      <w:pPr>
        <w:pStyle w:val="Sinespaciado1"/>
        <w:jc w:val="both"/>
        <w:rPr>
          <w:rFonts w:cs="Calibri"/>
        </w:rPr>
      </w:pPr>
    </w:p>
    <w:p w14:paraId="68CDA666" w14:textId="77777777" w:rsidR="00635654" w:rsidRPr="00835574" w:rsidRDefault="00635654">
      <w:pPr>
        <w:pStyle w:val="Sinespaciado1"/>
        <w:numPr>
          <w:ilvl w:val="0"/>
          <w:numId w:val="27"/>
        </w:numPr>
        <w:jc w:val="both"/>
        <w:rPr>
          <w:rFonts w:cs="Calibri"/>
        </w:rPr>
      </w:pPr>
      <w:r w:rsidRPr="00835574">
        <w:rPr>
          <w:rFonts w:cs="Calibri"/>
        </w:rPr>
        <w:t>Igualdad de Género y alerta de Violencia de Género contra la Mujer</w:t>
      </w:r>
    </w:p>
    <w:p w14:paraId="34757850" w14:textId="77777777" w:rsidR="00635654" w:rsidRPr="00835574" w:rsidRDefault="00635654" w:rsidP="00635654">
      <w:pPr>
        <w:pStyle w:val="Sinespaciado"/>
        <w:rPr>
          <w:rFonts w:ascii="Calibri" w:hAnsi="Calibri" w:cs="Calibri"/>
        </w:rPr>
      </w:pPr>
    </w:p>
    <w:p w14:paraId="19956610" w14:textId="77777777" w:rsidR="00635654" w:rsidRPr="00835574" w:rsidRDefault="00635654" w:rsidP="002C6704">
      <w:pPr>
        <w:pStyle w:val="Sinespaciado1"/>
        <w:ind w:left="720"/>
        <w:jc w:val="both"/>
        <w:rPr>
          <w:rFonts w:cs="Calibri"/>
        </w:rPr>
      </w:pPr>
      <w:r w:rsidRPr="00835574">
        <w:rPr>
          <w:rFonts w:cs="Calibri"/>
        </w:rPr>
        <w:t>Con el propósito de visibilizar el conjunto de acciones gubernamentales que los Ejecutores de gasto realizan para atender la Igualdad de Género y la Alerta de Violencia de Género contra la Mujer; se informa que la Secretaría de las Mujeres de Oaxaca será la encargada de actualizar y publicar el informe sobre el detalle de los programas, proyectos y acciones a emprender por los Ejecutores de gasto para atender lo antes expuesto.</w:t>
      </w:r>
    </w:p>
    <w:p w14:paraId="137934DA" w14:textId="77777777" w:rsidR="00635654" w:rsidRPr="00835574" w:rsidRDefault="00635654" w:rsidP="002C6704">
      <w:pPr>
        <w:pStyle w:val="Sinespaciado1"/>
        <w:ind w:left="720"/>
        <w:jc w:val="both"/>
        <w:rPr>
          <w:rFonts w:cs="Calibri"/>
        </w:rPr>
      </w:pPr>
    </w:p>
    <w:p w14:paraId="2BED5C26" w14:textId="7FF8F25A" w:rsidR="00635654" w:rsidRDefault="00635654" w:rsidP="002C6704">
      <w:pPr>
        <w:pStyle w:val="Sinespaciado1"/>
        <w:ind w:left="720"/>
        <w:jc w:val="both"/>
        <w:rPr>
          <w:rFonts w:cs="Calibri"/>
        </w:rPr>
      </w:pPr>
      <w:r w:rsidRPr="00835574">
        <w:rPr>
          <w:rFonts w:cs="Calibri"/>
        </w:rPr>
        <w:t>Por lo tanto, los Ejecutores de gasto en un plazo no mayor a 30 días hábiles una vez entrado en vigor del presente Decreto, deberán remitir a la Secretaría de las Mujeres de Oaxaca el presupuesto que se destina a atender la Igualdad de Género y la Alerta de Violencia de Género contra la Mujer, lo anterior con la finalidad de sumar esfuerzos para contribuir a la prevención, atención, sanción y erradicación de la violencia.</w:t>
      </w:r>
    </w:p>
    <w:p w14:paraId="0C7670F1" w14:textId="77777777" w:rsidR="00A26CB2" w:rsidRDefault="00A26CB2" w:rsidP="002C6704">
      <w:pPr>
        <w:pStyle w:val="Sinespaciado1"/>
        <w:ind w:left="720"/>
        <w:jc w:val="both"/>
        <w:rPr>
          <w:rFonts w:cs="Calibri"/>
        </w:rPr>
      </w:pPr>
    </w:p>
    <w:p w14:paraId="1E31E779" w14:textId="77777777" w:rsidR="00A26CB2" w:rsidRPr="00A26CB2" w:rsidRDefault="00A26CB2" w:rsidP="00A26CB2">
      <w:pPr>
        <w:ind w:left="709" w:right="49"/>
        <w:jc w:val="both"/>
        <w:rPr>
          <w:rFonts w:ascii="Calibri" w:eastAsia="Times New Roman" w:hAnsi="Calibri" w:cs="Calibri"/>
          <w:lang w:val="es-ES"/>
        </w:rPr>
      </w:pPr>
      <w:r w:rsidRPr="00A26CB2">
        <w:rPr>
          <w:rFonts w:ascii="Calibri" w:eastAsia="Times New Roman" w:hAnsi="Calibri" w:cs="Calibri"/>
          <w:lang w:val="es-ES"/>
        </w:rPr>
        <w:t>Por lo anteriormente expuesto, me permito someter a consideración de esa Honorable Legislatura, la siguiente iniciativa de:</w:t>
      </w:r>
    </w:p>
    <w:p w14:paraId="70012479" w14:textId="77777777" w:rsidR="00A26CB2" w:rsidRPr="00A26CB2" w:rsidRDefault="00A26CB2" w:rsidP="00A26CB2">
      <w:pPr>
        <w:pStyle w:val="Ttulo1"/>
        <w:tabs>
          <w:tab w:val="left" w:pos="1843"/>
        </w:tabs>
        <w:ind w:left="709" w:right="49"/>
        <w:jc w:val="both"/>
        <w:rPr>
          <w:rFonts w:ascii="Calibri" w:eastAsia="Times New Roman" w:hAnsi="Calibri" w:cs="Calibri"/>
          <w:b/>
          <w:bCs/>
          <w:color w:val="auto"/>
          <w:sz w:val="22"/>
          <w:szCs w:val="22"/>
          <w:lang w:val="es-ES"/>
        </w:rPr>
      </w:pPr>
      <w:r w:rsidRPr="00A26CB2">
        <w:rPr>
          <w:rFonts w:ascii="Calibri" w:eastAsia="Times New Roman" w:hAnsi="Calibri" w:cs="Calibri"/>
          <w:b/>
          <w:bCs/>
          <w:color w:val="auto"/>
          <w:sz w:val="22"/>
          <w:szCs w:val="22"/>
          <w:lang w:val="es-ES"/>
        </w:rPr>
        <w:t>Decreto de Presupuesto de Egresos del Estado de Oaxaca para el Ejercicio Fiscal 2023</w:t>
      </w:r>
    </w:p>
    <w:p w14:paraId="76E13A0D" w14:textId="77777777" w:rsidR="00A26CB2" w:rsidRPr="00A26CB2" w:rsidRDefault="00A26CB2" w:rsidP="00A26CB2">
      <w:pPr>
        <w:ind w:left="709" w:right="49"/>
        <w:jc w:val="both"/>
        <w:rPr>
          <w:rFonts w:ascii="Calibri" w:eastAsia="Times New Roman" w:hAnsi="Calibri" w:cs="Calibri"/>
          <w:lang w:val="es-ES"/>
        </w:rPr>
      </w:pPr>
    </w:p>
    <w:p w14:paraId="397D0DEB" w14:textId="77777777" w:rsidR="00A26CB2" w:rsidRPr="00A26CB2" w:rsidRDefault="00A26CB2" w:rsidP="00A26CB2">
      <w:pPr>
        <w:ind w:left="709" w:right="49"/>
        <w:jc w:val="both"/>
        <w:rPr>
          <w:rFonts w:ascii="Calibri" w:eastAsia="Times New Roman" w:hAnsi="Calibri" w:cs="Calibri"/>
          <w:lang w:val="es-ES"/>
        </w:rPr>
      </w:pPr>
      <w:r w:rsidRPr="00A26CB2">
        <w:rPr>
          <w:rFonts w:ascii="Calibri" w:eastAsia="Times New Roman" w:hAnsi="Calibri" w:cs="Calibri"/>
          <w:b/>
          <w:bCs/>
          <w:lang w:val="es-ES"/>
        </w:rPr>
        <w:t>Artículo Único:</w:t>
      </w:r>
      <w:r w:rsidRPr="00A26CB2">
        <w:rPr>
          <w:rFonts w:ascii="Calibri" w:eastAsia="Times New Roman" w:hAnsi="Calibri" w:cs="Calibri"/>
          <w:lang w:val="es-ES"/>
        </w:rPr>
        <w:t xml:space="preserve"> Se expide el Decreto de Presupuesto de Egresos del Estado de Oaxaca para el Ejercicio Fiscal 2023, para quedar como sigue:</w:t>
      </w:r>
    </w:p>
    <w:p w14:paraId="7E159CEB" w14:textId="77777777" w:rsidR="00A26CB2" w:rsidRPr="00835574" w:rsidRDefault="00A26CB2" w:rsidP="00A26CB2">
      <w:pPr>
        <w:pStyle w:val="Sinespaciado1"/>
        <w:ind w:left="709" w:right="49"/>
        <w:jc w:val="both"/>
        <w:rPr>
          <w:rFonts w:cs="Calibri"/>
        </w:rPr>
      </w:pPr>
    </w:p>
    <w:p w14:paraId="74D8E78B" w14:textId="77777777" w:rsidR="00ED6ED9" w:rsidRPr="00835574" w:rsidRDefault="00ED6ED9" w:rsidP="00421E8E">
      <w:pPr>
        <w:pStyle w:val="Sinespaciado"/>
        <w:jc w:val="both"/>
      </w:pPr>
    </w:p>
    <w:sectPr w:rsidR="00ED6ED9" w:rsidRPr="00835574" w:rsidSect="00A44D95">
      <w:headerReference w:type="default" r:id="rId19"/>
      <w:footerReference w:type="default" r:id="rId20"/>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AC0E8" w14:textId="77777777" w:rsidR="000E78C6" w:rsidRDefault="000E78C6" w:rsidP="00B23B94">
      <w:pPr>
        <w:spacing w:after="0" w:line="240" w:lineRule="auto"/>
      </w:pPr>
      <w:r>
        <w:separator/>
      </w:r>
    </w:p>
  </w:endnote>
  <w:endnote w:type="continuationSeparator" w:id="0">
    <w:p w14:paraId="683561D9" w14:textId="77777777" w:rsidR="000E78C6" w:rsidRDefault="000E78C6" w:rsidP="00B2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208621"/>
      <w:docPartObj>
        <w:docPartGallery w:val="Page Numbers (Bottom of Page)"/>
        <w:docPartUnique/>
      </w:docPartObj>
    </w:sdtPr>
    <w:sdtEndPr/>
    <w:sdtContent>
      <w:p w14:paraId="496810B3" w14:textId="0BFA93EC" w:rsidR="008B4F00" w:rsidRDefault="008B4F00" w:rsidP="00A26CB2">
        <w:pPr>
          <w:pStyle w:val="Piedepgina"/>
          <w:jc w:val="center"/>
        </w:pPr>
        <w:r>
          <w:fldChar w:fldCharType="begin"/>
        </w:r>
        <w:r>
          <w:instrText>PAGE   \* MERGEFORMAT</w:instrText>
        </w:r>
        <w:r>
          <w:fldChar w:fldCharType="separate"/>
        </w:r>
        <w:r w:rsidRPr="008B4F00">
          <w:rPr>
            <w:noProof/>
            <w:lang w:val="es-ES"/>
          </w:rPr>
          <w:t>85</w:t>
        </w:r>
        <w:r>
          <w:fldChar w:fldCharType="end"/>
        </w:r>
      </w:p>
    </w:sdtContent>
  </w:sdt>
  <w:p w14:paraId="4307BFBC" w14:textId="77777777" w:rsidR="00536713" w:rsidRDefault="005367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14F5" w14:textId="77777777" w:rsidR="000E78C6" w:rsidRDefault="000E78C6" w:rsidP="00B23B94">
      <w:pPr>
        <w:spacing w:after="0" w:line="240" w:lineRule="auto"/>
      </w:pPr>
      <w:r>
        <w:separator/>
      </w:r>
    </w:p>
  </w:footnote>
  <w:footnote w:type="continuationSeparator" w:id="0">
    <w:p w14:paraId="03859ED2" w14:textId="77777777" w:rsidR="000E78C6" w:rsidRDefault="000E78C6" w:rsidP="00B23B94">
      <w:pPr>
        <w:spacing w:after="0" w:line="240" w:lineRule="auto"/>
      </w:pPr>
      <w:r>
        <w:continuationSeparator/>
      </w:r>
    </w:p>
  </w:footnote>
  <w:footnote w:id="1">
    <w:p w14:paraId="6ADCFF8D" w14:textId="77777777" w:rsidR="00536713" w:rsidRPr="0064689E" w:rsidRDefault="00536713" w:rsidP="00877997">
      <w:pPr>
        <w:pStyle w:val="Textonotapie"/>
        <w:rPr>
          <w:rFonts w:ascii="Arial" w:hAnsi="Arial" w:cs="Arial"/>
          <w:b/>
          <w:bCs/>
          <w:sz w:val="18"/>
          <w:szCs w:val="18"/>
        </w:rPr>
      </w:pPr>
      <w:r w:rsidRPr="0064689E">
        <w:rPr>
          <w:rStyle w:val="Refdenotaalpie"/>
          <w:rFonts w:ascii="Arial" w:hAnsi="Arial" w:cs="Arial"/>
          <w:b/>
          <w:bCs/>
          <w:sz w:val="18"/>
          <w:szCs w:val="18"/>
        </w:rPr>
        <w:footnoteRef/>
      </w:r>
      <w:r w:rsidRPr="0064689E">
        <w:rPr>
          <w:rFonts w:ascii="Arial" w:hAnsi="Arial" w:cs="Arial"/>
          <w:b/>
          <w:bCs/>
          <w:sz w:val="18"/>
          <w:szCs w:val="18"/>
        </w:rPr>
        <w:t xml:space="preserve"> </w:t>
      </w:r>
      <w:r w:rsidRPr="0064689E">
        <w:rPr>
          <w:rFonts w:ascii="Arial" w:hAnsi="Arial" w:cs="Arial"/>
          <w:sz w:val="18"/>
          <w:szCs w:val="18"/>
        </w:rPr>
        <w:t>https://www.imf.org/es/Publications/WEO/Issues/2022/07/26/world-economic-outlook-update-july-2022 https://www.imf.org/es/Publications/WEO/Issues/2022/04/19/world-economic-outlook-april-2022</w:t>
      </w:r>
    </w:p>
  </w:footnote>
  <w:footnote w:id="2">
    <w:p w14:paraId="3B44C314" w14:textId="2BA4D782" w:rsidR="00536713" w:rsidRPr="00C57335" w:rsidRDefault="00536713" w:rsidP="00877997">
      <w:pPr>
        <w:pStyle w:val="Textonotapie"/>
        <w:rPr>
          <w:rFonts w:ascii="Arial" w:hAnsi="Arial" w:cs="Arial"/>
          <w:sz w:val="18"/>
          <w:szCs w:val="18"/>
        </w:rPr>
      </w:pPr>
      <w:r w:rsidRPr="00C57335">
        <w:rPr>
          <w:rStyle w:val="Refdenotaalpie"/>
          <w:rFonts w:ascii="Arial" w:hAnsi="Arial" w:cs="Arial"/>
          <w:sz w:val="18"/>
          <w:szCs w:val="18"/>
        </w:rPr>
        <w:footnoteRef/>
      </w:r>
      <w:r w:rsidRPr="00C57335">
        <w:rPr>
          <w:rFonts w:ascii="Arial" w:hAnsi="Arial" w:cs="Arial"/>
          <w:sz w:val="18"/>
          <w:szCs w:val="18"/>
        </w:rPr>
        <w:t xml:space="preserve"> </w:t>
      </w:r>
      <w:r w:rsidR="00C57335" w:rsidRPr="00C57335">
        <w:rPr>
          <w:rFonts w:ascii="Arial" w:hAnsi="Arial" w:cs="Arial"/>
          <w:sz w:val="18"/>
          <w:szCs w:val="18"/>
        </w:rPr>
        <w:t>https://www.banxico.org.mx/publicaciones-y-prensa/encuestas-sobre-las-expectativas-de-los-especialis/%7B0166FDDE-AA6B-5F2C-EF8D-AADE6FA59965%7D.pdf</w:t>
      </w:r>
    </w:p>
  </w:footnote>
  <w:footnote w:id="3">
    <w:p w14:paraId="704FABA9" w14:textId="7328B114" w:rsidR="00C57335" w:rsidRPr="00C57335" w:rsidRDefault="00C57335" w:rsidP="00C57335">
      <w:pPr>
        <w:pStyle w:val="Textonotapie"/>
      </w:pPr>
      <w:r w:rsidRPr="00C57335">
        <w:rPr>
          <w:rStyle w:val="Refdenotaalpie"/>
        </w:rPr>
        <w:footnoteRef/>
      </w:r>
      <w:r w:rsidRPr="00C57335">
        <w:t xml:space="preserve"> </w:t>
      </w:r>
      <w:r w:rsidRPr="00C57335">
        <w:rPr>
          <w:rFonts w:ascii="Arial" w:hAnsi="Arial" w:cs="Arial"/>
          <w:sz w:val="18"/>
        </w:rPr>
        <w:t>https://www.inegi.org.mx/contenidos</w:t>
      </w:r>
      <w:r w:rsidRPr="00C57335">
        <w:t>/saladeprensa/boletines/2022/pib_pconst/pib_pconst2022_08.pdf</w:t>
      </w:r>
    </w:p>
  </w:footnote>
  <w:footnote w:id="4">
    <w:p w14:paraId="57FC9DAC" w14:textId="77777777" w:rsidR="00536713" w:rsidRPr="0064689E" w:rsidRDefault="00536713" w:rsidP="00877997">
      <w:pPr>
        <w:pStyle w:val="Textonotapie"/>
        <w:rPr>
          <w:rFonts w:ascii="Arial" w:hAnsi="Arial" w:cs="Arial"/>
          <w:sz w:val="18"/>
          <w:szCs w:val="18"/>
        </w:rPr>
      </w:pPr>
      <w:r w:rsidRPr="00C57335">
        <w:rPr>
          <w:rStyle w:val="Refdenotaalpie"/>
          <w:rFonts w:ascii="Arial" w:hAnsi="Arial" w:cs="Arial"/>
          <w:sz w:val="18"/>
          <w:szCs w:val="18"/>
        </w:rPr>
        <w:footnoteRef/>
      </w:r>
      <w:r w:rsidRPr="00C57335">
        <w:rPr>
          <w:rFonts w:ascii="Arial" w:hAnsi="Arial" w:cs="Arial"/>
          <w:sz w:val="18"/>
          <w:szCs w:val="18"/>
        </w:rPr>
        <w:t xml:space="preserve"> http://www.imss.gob.mx/conoce-al-imss/informe-2021-2022</w:t>
      </w:r>
    </w:p>
  </w:footnote>
  <w:footnote w:id="5">
    <w:p w14:paraId="1139AD4C" w14:textId="77777777" w:rsidR="00536713" w:rsidRPr="0064689E" w:rsidRDefault="00536713" w:rsidP="00877997">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 xml:space="preserve"> http://www.imss.gob.mx/prensa/archivo/202210/515</w:t>
      </w:r>
    </w:p>
  </w:footnote>
  <w:footnote w:id="6">
    <w:p w14:paraId="6CB9FFF8" w14:textId="30A6F9C3" w:rsidR="00536713" w:rsidRPr="0064689E" w:rsidRDefault="00536713" w:rsidP="00877997">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https://www.inegi.org.mx/contenidos/programas/enoe/15ymas/doc/resultados_ciudades_enoe_2022_trim2.pdf</w:t>
      </w:r>
    </w:p>
  </w:footnote>
  <w:footnote w:id="7">
    <w:p w14:paraId="369DB23F" w14:textId="4362F2F1" w:rsidR="00536713" w:rsidRPr="0064689E" w:rsidRDefault="00536713" w:rsidP="00877997">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Suma de desocupados, subocupados, ocupados que laboran menos de 15 horas a la semana, ocupados que buscan trabajo y/u ocupados en condiciones críticas de ocupación.</w:t>
      </w:r>
    </w:p>
  </w:footnote>
  <w:footnote w:id="8">
    <w:p w14:paraId="6EC13CDC" w14:textId="10CF89F2" w:rsidR="002F4EF8" w:rsidRDefault="002F4EF8">
      <w:pPr>
        <w:pStyle w:val="Textonotapie"/>
      </w:pPr>
      <w:r w:rsidRPr="005F253E">
        <w:rPr>
          <w:rStyle w:val="Refdenotaalpie"/>
        </w:rPr>
        <w:footnoteRef/>
      </w:r>
      <w:r w:rsidRPr="005F253E">
        <w:t xml:space="preserve"> </w:t>
      </w:r>
      <w:r w:rsidRPr="005F253E">
        <w:rPr>
          <w:rFonts w:ascii="Arial" w:hAnsi="Arial" w:cs="Arial"/>
          <w:sz w:val="18"/>
          <w:szCs w:val="18"/>
        </w:rPr>
        <w:t>https://www.cefp.gob.mx/indicadores/gaceta/2022/iescefp0342022.pdf</w:t>
      </w:r>
    </w:p>
  </w:footnote>
  <w:footnote w:id="9">
    <w:p w14:paraId="5ACBFD1E" w14:textId="40597825" w:rsidR="00536713" w:rsidRPr="0064689E" w:rsidRDefault="00536713" w:rsidP="00877997">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https://www.imf.org/es/News/Articles/2022/07/27/blog-shifting-global-winds-pose-challenges-to-latin-america</w:t>
      </w:r>
    </w:p>
  </w:footnote>
  <w:footnote w:id="10">
    <w:p w14:paraId="5EBA46C2" w14:textId="2CD60B7F" w:rsidR="00536713" w:rsidRPr="0064689E" w:rsidRDefault="00536713" w:rsidP="00877997">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https://www.inegi.org.mx/app/tabulados/default.aspx?pr=17&amp;vr=7&amp;in=2&amp;tp=20&amp;wr=1&amp;cno=2&amp;idrt=12022&amp;opc=p.</w:t>
      </w:r>
    </w:p>
  </w:footnote>
  <w:footnote w:id="11">
    <w:p w14:paraId="31232088" w14:textId="77777777" w:rsidR="00C94114" w:rsidRDefault="00C94114" w:rsidP="00C94114">
      <w:pPr>
        <w:pStyle w:val="Textonotapie"/>
      </w:pPr>
      <w:r>
        <w:rPr>
          <w:rStyle w:val="Refdenotaalpie"/>
        </w:rPr>
        <w:footnoteRef/>
      </w:r>
      <w:r>
        <w:t xml:space="preserve"> </w:t>
      </w:r>
      <w:r w:rsidRPr="00C94114">
        <w:rPr>
          <w:rFonts w:ascii="Arial" w:hAnsi="Arial" w:cs="Arial"/>
          <w:sz w:val="18"/>
          <w:szCs w:val="18"/>
        </w:rPr>
        <w:t>https://www.inegi.org.mx/contenidos/saladeprensa/boletines/2022/itaee/itaee2022_10.pdf</w:t>
      </w:r>
    </w:p>
  </w:footnote>
  <w:footnote w:id="12">
    <w:p w14:paraId="2B3958AB" w14:textId="3F38FFEB" w:rsidR="009157BA" w:rsidRPr="0064689E" w:rsidRDefault="00536713" w:rsidP="009157BA">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 xml:space="preserve"> </w:t>
      </w:r>
      <w:r w:rsidR="009157BA" w:rsidRPr="009157BA">
        <w:rPr>
          <w:rFonts w:ascii="Arial" w:hAnsi="Arial" w:cs="Arial"/>
          <w:sz w:val="18"/>
          <w:szCs w:val="18"/>
        </w:rPr>
        <w:t>https://www.inegi.org.mx/temas/itaee/#Tabulados</w:t>
      </w:r>
    </w:p>
    <w:p w14:paraId="1AEC29E1" w14:textId="5446832E" w:rsidR="00536713" w:rsidRPr="0064689E" w:rsidRDefault="00536713" w:rsidP="00877997">
      <w:pPr>
        <w:pStyle w:val="Textonotapie"/>
        <w:rPr>
          <w:rFonts w:ascii="Arial" w:hAnsi="Arial" w:cs="Arial"/>
          <w:sz w:val="18"/>
          <w:szCs w:val="18"/>
        </w:rPr>
      </w:pPr>
    </w:p>
  </w:footnote>
  <w:footnote w:id="13">
    <w:p w14:paraId="710F62B8" w14:textId="77777777" w:rsidR="00536713" w:rsidRPr="009670D7" w:rsidRDefault="00536713" w:rsidP="00877997">
      <w:pPr>
        <w:pStyle w:val="Textonotapie"/>
        <w:rPr>
          <w:rFonts w:ascii="Arial" w:hAnsi="Arial" w:cs="Arial"/>
          <w:sz w:val="18"/>
          <w:szCs w:val="18"/>
        </w:rPr>
      </w:pPr>
      <w:r w:rsidRPr="009670D7">
        <w:rPr>
          <w:rStyle w:val="Refdenotaalpie"/>
          <w:rFonts w:ascii="Arial" w:hAnsi="Arial" w:cs="Arial"/>
          <w:sz w:val="18"/>
          <w:szCs w:val="18"/>
        </w:rPr>
        <w:footnoteRef/>
      </w:r>
      <w:r w:rsidRPr="009670D7">
        <w:rPr>
          <w:rFonts w:ascii="Arial" w:hAnsi="Arial" w:cs="Arial"/>
          <w:sz w:val="18"/>
          <w:szCs w:val="18"/>
        </w:rPr>
        <w:t xml:space="preserve"> https://www.inegi.org.mx/contenidos/saladeprensa/boletines/2022/enoent/enoe_ie2022_08_Oax.pdf</w:t>
      </w:r>
    </w:p>
  </w:footnote>
  <w:footnote w:id="14">
    <w:p w14:paraId="764B1FB5" w14:textId="77777777" w:rsidR="00536713" w:rsidRPr="0064689E" w:rsidRDefault="00536713" w:rsidP="00877997">
      <w:pPr>
        <w:pStyle w:val="Textonotapie"/>
        <w:rPr>
          <w:rFonts w:ascii="Arial" w:hAnsi="Arial" w:cs="Arial"/>
          <w:sz w:val="18"/>
          <w:szCs w:val="18"/>
        </w:rPr>
      </w:pPr>
      <w:r w:rsidRPr="009670D7">
        <w:rPr>
          <w:rStyle w:val="Refdenotaalpie"/>
          <w:rFonts w:ascii="Arial" w:hAnsi="Arial" w:cs="Arial"/>
          <w:sz w:val="18"/>
          <w:szCs w:val="18"/>
        </w:rPr>
        <w:footnoteRef/>
      </w:r>
      <w:r w:rsidRPr="009670D7">
        <w:rPr>
          <w:rFonts w:ascii="Arial" w:hAnsi="Arial" w:cs="Arial"/>
          <w:sz w:val="18"/>
          <w:szCs w:val="18"/>
        </w:rPr>
        <w:t xml:space="preserve"> https://www.inegi.org.mx/contenidos/programas/ensu/doc/ensu2022_junio_presentacion_ejecutiva.pdf</w:t>
      </w:r>
    </w:p>
  </w:footnote>
  <w:footnote w:id="15">
    <w:p w14:paraId="3B0C4E20" w14:textId="77777777" w:rsidR="00536713" w:rsidRPr="0064689E" w:rsidRDefault="00536713" w:rsidP="00877997">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 xml:space="preserve"> Porcentaje de la población de 18 años y más que durante el segundo trimestre de 2022 presenció o escuchó sobre un acto delictivo.</w:t>
      </w:r>
    </w:p>
  </w:footnote>
  <w:footnote w:id="16">
    <w:p w14:paraId="621E06B4" w14:textId="77777777" w:rsidR="00536713" w:rsidRPr="0064689E" w:rsidRDefault="00536713" w:rsidP="00877997">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 xml:space="preserve"> No significativo.</w:t>
      </w:r>
    </w:p>
  </w:footnote>
  <w:footnote w:id="17">
    <w:p w14:paraId="34F40281" w14:textId="77777777" w:rsidR="00536713" w:rsidRPr="0064689E" w:rsidRDefault="00536713" w:rsidP="00877997">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 xml:space="preserve"> https://www.cuentame.inegi.org.mx/monografias/informacion/oax/poblacion/default.aspx?tema=me&amp;e=20</w:t>
      </w:r>
    </w:p>
  </w:footnote>
  <w:footnote w:id="18">
    <w:p w14:paraId="1010E3E9" w14:textId="77777777" w:rsidR="00536713" w:rsidRPr="0064689E" w:rsidRDefault="00536713" w:rsidP="00877997">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 xml:space="preserve"> https://www.coneval.org.mx/coordinacion/entidades/Oaxaca/Paginas/principal.aspx</w:t>
      </w:r>
    </w:p>
  </w:footnote>
  <w:footnote w:id="19">
    <w:p w14:paraId="524C8AE8" w14:textId="184FC3F5" w:rsidR="00536713" w:rsidRPr="0064689E" w:rsidRDefault="00536713">
      <w:pPr>
        <w:pStyle w:val="Textonotapie"/>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 xml:space="preserve"> https://www.transparenciapresupuestaria.gob.mx/es/PTP/EntidadesFederativas#DiagnosticoPbR-SED</w:t>
      </w:r>
    </w:p>
  </w:footnote>
  <w:footnote w:id="20">
    <w:p w14:paraId="499234E4" w14:textId="77777777" w:rsidR="00536713" w:rsidRPr="0064689E" w:rsidRDefault="00536713" w:rsidP="00375256">
      <w:pPr>
        <w:pStyle w:val="Textonotapie"/>
        <w:jc w:val="both"/>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 xml:space="preserve"> Las cifras registradas contemplan 285.15 mdp correspondiente a la ASE líquida del cuarto trimestre del ejercicio fiscal 2022, así como la proyección de la ASE líquida correspondiente a tres trimestres del ejercicio fiscal 2023 por 887.52 mdp</w:t>
      </w:r>
    </w:p>
  </w:footnote>
  <w:footnote w:id="21">
    <w:p w14:paraId="5C3709CA" w14:textId="77777777" w:rsidR="00A51759" w:rsidRPr="0064689E" w:rsidRDefault="00A51759" w:rsidP="00A51759">
      <w:pPr>
        <w:pStyle w:val="Textonotapie"/>
        <w:jc w:val="both"/>
        <w:rPr>
          <w:rFonts w:ascii="Arial" w:hAnsi="Arial" w:cs="Arial"/>
          <w:sz w:val="18"/>
          <w:szCs w:val="18"/>
        </w:rPr>
      </w:pPr>
      <w:r w:rsidRPr="0064689E">
        <w:rPr>
          <w:rStyle w:val="Refdenotaalpie"/>
          <w:rFonts w:ascii="Arial" w:hAnsi="Arial" w:cs="Arial"/>
          <w:sz w:val="18"/>
          <w:szCs w:val="18"/>
        </w:rPr>
        <w:footnoteRef/>
      </w:r>
      <w:r w:rsidRPr="0064689E">
        <w:rPr>
          <w:rFonts w:ascii="Arial" w:hAnsi="Arial" w:cs="Arial"/>
          <w:sz w:val="18"/>
          <w:szCs w:val="18"/>
        </w:rPr>
        <w:t xml:space="preserve"> Se toman como base las definiciones descritas en el documento “Temas estratégicos para alcanzar la Disciplina Financiera estatal y municipal 2021”.</w:t>
      </w:r>
    </w:p>
    <w:p w14:paraId="467F657F" w14:textId="77777777" w:rsidR="00A51759" w:rsidRPr="0064689E" w:rsidRDefault="00A51759" w:rsidP="00A51759">
      <w:pPr>
        <w:pStyle w:val="Textonotapie"/>
        <w:jc w:val="both"/>
        <w:rPr>
          <w:rFonts w:ascii="Arial" w:hAnsi="Arial" w:cs="Arial"/>
          <w:sz w:val="18"/>
          <w:szCs w:val="18"/>
        </w:rPr>
      </w:pPr>
      <w:r w:rsidRPr="0064689E">
        <w:rPr>
          <w:rFonts w:ascii="Arial" w:hAnsi="Arial" w:cs="Arial"/>
          <w:sz w:val="18"/>
          <w:szCs w:val="18"/>
        </w:rPr>
        <w:t>https://www.indetec.gob.mx/delivery?srv=0&amp;sl=2&amp;route=/biblioteca/Especiales/Temas_estrategicos_Disciplina_Financiera2021&amp;ext=.pdf</w:t>
      </w:r>
    </w:p>
  </w:footnote>
  <w:footnote w:id="22">
    <w:p w14:paraId="4D39FF14" w14:textId="77777777" w:rsidR="00635654" w:rsidRPr="00E40AC8" w:rsidRDefault="00635654" w:rsidP="00635654">
      <w:pPr>
        <w:pStyle w:val="TableParagraph"/>
        <w:jc w:val="left"/>
        <w:rPr>
          <w:rFonts w:ascii="Arial" w:hAnsi="Arial" w:cs="Arial"/>
          <w:sz w:val="18"/>
          <w:szCs w:val="18"/>
        </w:rPr>
      </w:pPr>
      <w:r w:rsidRPr="00F05799">
        <w:rPr>
          <w:rFonts w:ascii="Arial" w:hAnsi="Arial" w:cs="Arial"/>
          <w:sz w:val="18"/>
          <w:szCs w:val="18"/>
          <w:vertAlign w:val="superscript"/>
        </w:rPr>
        <w:footnoteRef/>
      </w:r>
      <w:r>
        <w:rPr>
          <w:rFonts w:ascii="Arial" w:hAnsi="Arial" w:cs="Arial"/>
          <w:sz w:val="18"/>
          <w:szCs w:val="18"/>
        </w:rPr>
        <w:t xml:space="preserve"> Artículos 41 fracción II inciso a) de la Constitución Política de los Estados Unidos Mexicanos y, 51 numeral 1 inciso a) fracción I de la Ley General de Partidos Políticos.</w:t>
      </w:r>
    </w:p>
  </w:footnote>
  <w:footnote w:id="23">
    <w:p w14:paraId="44FB8997" w14:textId="77777777" w:rsidR="00635654" w:rsidRPr="00E063D9" w:rsidRDefault="00635654" w:rsidP="00635654">
      <w:pPr>
        <w:pStyle w:val="Textonotapie"/>
        <w:rPr>
          <w:lang w:val="es-419"/>
        </w:rPr>
      </w:pPr>
      <w:r>
        <w:rPr>
          <w:rStyle w:val="Refdenotaalpie"/>
        </w:rPr>
        <w:footnoteRef/>
      </w:r>
      <w:r>
        <w:t xml:space="preserve"> </w:t>
      </w:r>
      <w:r w:rsidRPr="0064689E">
        <w:rPr>
          <w:rFonts w:ascii="Arial" w:hAnsi="Arial" w:cs="Arial"/>
          <w:sz w:val="18"/>
          <w:szCs w:val="18"/>
        </w:rPr>
        <w:t>https://www.inegi.org.mx/temas/uma/</w:t>
      </w:r>
    </w:p>
  </w:footnote>
  <w:footnote w:id="24">
    <w:p w14:paraId="00DA5235" w14:textId="0D206D84" w:rsidR="00635654" w:rsidRDefault="00635654" w:rsidP="00635654">
      <w:pPr>
        <w:pStyle w:val="Textocomentario"/>
        <w:rPr>
          <w:rFonts w:ascii="Arial" w:hAnsi="Arial" w:cs="Arial"/>
          <w:sz w:val="18"/>
          <w:szCs w:val="18"/>
        </w:rPr>
      </w:pPr>
      <w:r w:rsidRPr="00F05799">
        <w:rPr>
          <w:rFonts w:ascii="Arial" w:hAnsi="Arial" w:cs="Arial"/>
          <w:sz w:val="18"/>
          <w:szCs w:val="18"/>
          <w:vertAlign w:val="superscript"/>
        </w:rPr>
        <w:footnoteRef/>
      </w:r>
      <w:r w:rsidRPr="00F05799">
        <w:rPr>
          <w:rFonts w:ascii="Arial" w:hAnsi="Arial" w:cs="Arial"/>
          <w:sz w:val="18"/>
          <w:szCs w:val="18"/>
          <w:vertAlign w:val="superscript"/>
        </w:rPr>
        <w:t xml:space="preserve"> </w:t>
      </w:r>
      <w:r>
        <w:rPr>
          <w:rFonts w:ascii="Arial" w:hAnsi="Arial" w:cs="Arial"/>
          <w:sz w:val="18"/>
          <w:szCs w:val="18"/>
        </w:rPr>
        <w:t xml:space="preserve">Artículos 41 fracción II inciso c) de </w:t>
      </w:r>
      <w:r w:rsidR="00F745E3">
        <w:rPr>
          <w:rFonts w:ascii="Arial" w:hAnsi="Arial" w:cs="Arial"/>
          <w:sz w:val="18"/>
          <w:szCs w:val="18"/>
        </w:rPr>
        <w:t xml:space="preserve">la </w:t>
      </w:r>
      <w:r>
        <w:rPr>
          <w:rFonts w:ascii="Arial" w:hAnsi="Arial" w:cs="Arial"/>
          <w:sz w:val="18"/>
          <w:szCs w:val="18"/>
        </w:rPr>
        <w:t>Constitución Política de los Estados Unidos Mexicanos y, 51 numeral 1 inciso c) fracción I de la Ley General de Partidos Políticos.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A331" w14:textId="63F62F85" w:rsidR="00536713" w:rsidRDefault="00536713">
    <w:pPr>
      <w:pStyle w:val="Encabezado"/>
    </w:pPr>
    <w:r w:rsidRPr="00AE133B">
      <w:rPr>
        <w:noProof/>
        <w:lang w:eastAsia="es-MX"/>
      </w:rPr>
      <w:drawing>
        <wp:anchor distT="0" distB="0" distL="114300" distR="114300" simplePos="0" relativeHeight="251659264" behindDoc="1" locked="0" layoutInCell="1" allowOverlap="1" wp14:anchorId="515B32FD" wp14:editId="08CBB5B5">
          <wp:simplePos x="0" y="0"/>
          <wp:positionH relativeFrom="column">
            <wp:posOffset>-352425</wp:posOffset>
          </wp:positionH>
          <wp:positionV relativeFrom="paragraph">
            <wp:posOffset>-54610</wp:posOffset>
          </wp:positionV>
          <wp:extent cx="1209675" cy="1228323"/>
          <wp:effectExtent l="0" t="0" r="0" b="0"/>
          <wp:wrapNone/>
          <wp:docPr id="19" name="Imagen 19"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283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A441C5" w14:textId="5D1B9CDD" w:rsidR="00536713" w:rsidRDefault="00536713">
    <w:pPr>
      <w:pStyle w:val="Encabezado"/>
      <w:rPr>
        <w:noProof/>
        <w:lang w:eastAsia="es-MX"/>
      </w:rPr>
    </w:pPr>
  </w:p>
  <w:p w14:paraId="55CACE48" w14:textId="08FB6EA5" w:rsidR="00536713" w:rsidRDefault="00536713">
    <w:pPr>
      <w:pStyle w:val="Encabezado"/>
      <w:rPr>
        <w:noProof/>
        <w:lang w:eastAsia="es-MX"/>
      </w:rPr>
    </w:pPr>
  </w:p>
  <w:p w14:paraId="3EA5EDCA" w14:textId="0BCF5F70" w:rsidR="00536713" w:rsidRDefault="00536713">
    <w:pPr>
      <w:pStyle w:val="Encabezado"/>
      <w:rPr>
        <w:noProof/>
        <w:lang w:eastAsia="es-MX"/>
      </w:rPr>
    </w:pPr>
  </w:p>
  <w:p w14:paraId="64296DE9" w14:textId="1D3BC3EA" w:rsidR="00536713" w:rsidRDefault="00536713">
    <w:pPr>
      <w:pStyle w:val="Encabezado"/>
      <w:rPr>
        <w:noProof/>
        <w:lang w:eastAsia="es-MX"/>
      </w:rPr>
    </w:pPr>
  </w:p>
  <w:p w14:paraId="231D86DB" w14:textId="53FE8984" w:rsidR="00536713" w:rsidRDefault="00536713">
    <w:pPr>
      <w:pStyle w:val="Encabezado"/>
      <w:rPr>
        <w:noProof/>
        <w:lang w:eastAsia="es-MX"/>
      </w:rPr>
    </w:pPr>
  </w:p>
  <w:p w14:paraId="14B0EF19" w14:textId="0D809F50" w:rsidR="00536713" w:rsidRDefault="00536713">
    <w:pPr>
      <w:pStyle w:val="Encabezado"/>
      <w:rPr>
        <w:noProof/>
        <w:lang w:eastAsia="es-MX"/>
      </w:rPr>
    </w:pPr>
  </w:p>
  <w:p w14:paraId="29861BCB" w14:textId="3B4F1570" w:rsidR="00536713" w:rsidRDefault="005367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E0C"/>
    <w:multiLevelType w:val="hybridMultilevel"/>
    <w:tmpl w:val="4726EFE4"/>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23E75"/>
    <w:multiLevelType w:val="hybridMultilevel"/>
    <w:tmpl w:val="7892F1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6580015"/>
    <w:multiLevelType w:val="hybridMultilevel"/>
    <w:tmpl w:val="8A904708"/>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77E279F"/>
    <w:multiLevelType w:val="hybridMultilevel"/>
    <w:tmpl w:val="76700FF8"/>
    <w:lvl w:ilvl="0" w:tplc="CFCEA0F2">
      <w:start w:val="3"/>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7CA7575"/>
    <w:multiLevelType w:val="hybridMultilevel"/>
    <w:tmpl w:val="D43A3B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ABF7DDE"/>
    <w:multiLevelType w:val="hybridMultilevel"/>
    <w:tmpl w:val="6D0832E6"/>
    <w:lvl w:ilvl="0" w:tplc="6AFA5C4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1F755DD"/>
    <w:multiLevelType w:val="hybridMultilevel"/>
    <w:tmpl w:val="A7C251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2FE3B3B"/>
    <w:multiLevelType w:val="hybridMultilevel"/>
    <w:tmpl w:val="0F127DD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3D50F52"/>
    <w:multiLevelType w:val="hybridMultilevel"/>
    <w:tmpl w:val="328C78D8"/>
    <w:lvl w:ilvl="0" w:tplc="FF9E083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3C36C3"/>
    <w:multiLevelType w:val="hybridMultilevel"/>
    <w:tmpl w:val="3F54EC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6D64468"/>
    <w:multiLevelType w:val="hybridMultilevel"/>
    <w:tmpl w:val="01D487EA"/>
    <w:lvl w:ilvl="0" w:tplc="F03A9A00">
      <w:start w:val="6"/>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9005C68"/>
    <w:multiLevelType w:val="hybridMultilevel"/>
    <w:tmpl w:val="7E9807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1BF3781D"/>
    <w:multiLevelType w:val="hybridMultilevel"/>
    <w:tmpl w:val="F2DED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4663FC"/>
    <w:multiLevelType w:val="hybridMultilevel"/>
    <w:tmpl w:val="1E46E168"/>
    <w:lvl w:ilvl="0" w:tplc="6AFA5C4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C822905"/>
    <w:multiLevelType w:val="hybridMultilevel"/>
    <w:tmpl w:val="D706A30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5" w15:restartNumberingAfterBreak="0">
    <w:nsid w:val="33063C5F"/>
    <w:multiLevelType w:val="hybridMultilevel"/>
    <w:tmpl w:val="9016161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332000B8"/>
    <w:multiLevelType w:val="hybridMultilevel"/>
    <w:tmpl w:val="16A666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350C5D9C"/>
    <w:multiLevelType w:val="hybridMultilevel"/>
    <w:tmpl w:val="D73EDE8C"/>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5AB3153"/>
    <w:multiLevelType w:val="hybridMultilevel"/>
    <w:tmpl w:val="2808FF0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3B950097"/>
    <w:multiLevelType w:val="hybridMultilevel"/>
    <w:tmpl w:val="92FC3A06"/>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D90095F"/>
    <w:multiLevelType w:val="hybridMultilevel"/>
    <w:tmpl w:val="620C046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DAB02B6"/>
    <w:multiLevelType w:val="hybridMultilevel"/>
    <w:tmpl w:val="2C8A33C2"/>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C863A2"/>
    <w:multiLevelType w:val="hybridMultilevel"/>
    <w:tmpl w:val="143C9CB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3F60181"/>
    <w:multiLevelType w:val="hybridMultilevel"/>
    <w:tmpl w:val="D68C7A14"/>
    <w:lvl w:ilvl="0" w:tplc="5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8441AB"/>
    <w:multiLevelType w:val="hybridMultilevel"/>
    <w:tmpl w:val="E056FCB4"/>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453C606D"/>
    <w:multiLevelType w:val="hybridMultilevel"/>
    <w:tmpl w:val="99B43CC2"/>
    <w:lvl w:ilvl="0" w:tplc="4DE231C8">
      <w:start w:val="1"/>
      <w:numFmt w:val="decimal"/>
      <w:lvlText w:val="%1."/>
      <w:lvlJc w:val="left"/>
      <w:pPr>
        <w:ind w:left="720" w:hanging="360"/>
      </w:pPr>
      <w:rPr>
        <w:rFonts w:hint="default"/>
        <w:b w:val="0"/>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A85111A"/>
    <w:multiLevelType w:val="hybridMultilevel"/>
    <w:tmpl w:val="A514662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4CBE646C"/>
    <w:multiLevelType w:val="hybridMultilevel"/>
    <w:tmpl w:val="A5B208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51BF515D"/>
    <w:multiLevelType w:val="hybridMultilevel"/>
    <w:tmpl w:val="422E29D6"/>
    <w:lvl w:ilvl="0" w:tplc="A600D676">
      <w:start w:val="2"/>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51D94173"/>
    <w:multiLevelType w:val="hybridMultilevel"/>
    <w:tmpl w:val="DF92847A"/>
    <w:lvl w:ilvl="0" w:tplc="5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411A8F"/>
    <w:multiLevelType w:val="hybridMultilevel"/>
    <w:tmpl w:val="122A11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56B244BC"/>
    <w:multiLevelType w:val="hybridMultilevel"/>
    <w:tmpl w:val="E5C8D3DE"/>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91F3726"/>
    <w:multiLevelType w:val="hybridMultilevel"/>
    <w:tmpl w:val="D6A6601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5CF62521"/>
    <w:multiLevelType w:val="hybridMultilevel"/>
    <w:tmpl w:val="1CCC43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5E610B3E"/>
    <w:multiLevelType w:val="hybridMultilevel"/>
    <w:tmpl w:val="0AF244D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649A33C1"/>
    <w:multiLevelType w:val="multilevel"/>
    <w:tmpl w:val="49940D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D9271C"/>
    <w:multiLevelType w:val="hybridMultilevel"/>
    <w:tmpl w:val="C97E7848"/>
    <w:lvl w:ilvl="0" w:tplc="98E4CDFA">
      <w:start w:val="8"/>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60D481C"/>
    <w:multiLevelType w:val="hybridMultilevel"/>
    <w:tmpl w:val="A24821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678F2EDD"/>
    <w:multiLevelType w:val="hybridMultilevel"/>
    <w:tmpl w:val="15EA02B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69AF304B"/>
    <w:multiLevelType w:val="hybridMultilevel"/>
    <w:tmpl w:val="19342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A31962"/>
    <w:multiLevelType w:val="hybridMultilevel"/>
    <w:tmpl w:val="31E0BEB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74F34E0C"/>
    <w:multiLevelType w:val="hybridMultilevel"/>
    <w:tmpl w:val="ADA2C778"/>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AF53B7"/>
    <w:multiLevelType w:val="hybridMultilevel"/>
    <w:tmpl w:val="A47230A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3" w15:restartNumberingAfterBreak="0">
    <w:nsid w:val="77BE7498"/>
    <w:multiLevelType w:val="hybridMultilevel"/>
    <w:tmpl w:val="B60432D4"/>
    <w:lvl w:ilvl="0" w:tplc="6AFA5C46">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4" w15:restartNumberingAfterBreak="0">
    <w:nsid w:val="7AE45D75"/>
    <w:multiLevelType w:val="hybridMultilevel"/>
    <w:tmpl w:val="ABEC052C"/>
    <w:lvl w:ilvl="0" w:tplc="080A0011">
      <w:start w:val="1"/>
      <w:numFmt w:val="decimal"/>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5" w15:restartNumberingAfterBreak="0">
    <w:nsid w:val="7E4B4F8A"/>
    <w:multiLevelType w:val="hybridMultilevel"/>
    <w:tmpl w:val="CE88D07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1010107291">
    <w:abstractNumId w:val="11"/>
  </w:num>
  <w:num w:numId="2" w16cid:durableId="794367676">
    <w:abstractNumId w:val="4"/>
  </w:num>
  <w:num w:numId="3" w16cid:durableId="811025906">
    <w:abstractNumId w:val="6"/>
  </w:num>
  <w:num w:numId="4" w16cid:durableId="1107696943">
    <w:abstractNumId w:val="43"/>
  </w:num>
  <w:num w:numId="5" w16cid:durableId="1776366467">
    <w:abstractNumId w:val="23"/>
  </w:num>
  <w:num w:numId="6" w16cid:durableId="332228084">
    <w:abstractNumId w:val="25"/>
  </w:num>
  <w:num w:numId="7" w16cid:durableId="1388920703">
    <w:abstractNumId w:val="18"/>
  </w:num>
  <w:num w:numId="8" w16cid:durableId="1025979648">
    <w:abstractNumId w:val="33"/>
  </w:num>
  <w:num w:numId="9" w16cid:durableId="464354722">
    <w:abstractNumId w:val="30"/>
  </w:num>
  <w:num w:numId="10" w16cid:durableId="1624726299">
    <w:abstractNumId w:val="29"/>
  </w:num>
  <w:num w:numId="11" w16cid:durableId="2091807091">
    <w:abstractNumId w:val="7"/>
  </w:num>
  <w:num w:numId="12" w16cid:durableId="869925580">
    <w:abstractNumId w:val="40"/>
  </w:num>
  <w:num w:numId="13" w16cid:durableId="872115570">
    <w:abstractNumId w:val="5"/>
  </w:num>
  <w:num w:numId="14" w16cid:durableId="570582820">
    <w:abstractNumId w:val="35"/>
  </w:num>
  <w:num w:numId="15" w16cid:durableId="1390761730">
    <w:abstractNumId w:val="13"/>
  </w:num>
  <w:num w:numId="16" w16cid:durableId="953946809">
    <w:abstractNumId w:val="15"/>
  </w:num>
  <w:num w:numId="17" w16cid:durableId="697858538">
    <w:abstractNumId w:val="31"/>
  </w:num>
  <w:num w:numId="18" w16cid:durableId="599414286">
    <w:abstractNumId w:val="16"/>
  </w:num>
  <w:num w:numId="19" w16cid:durableId="290862710">
    <w:abstractNumId w:val="28"/>
  </w:num>
  <w:num w:numId="20" w16cid:durableId="1318606559">
    <w:abstractNumId w:val="3"/>
  </w:num>
  <w:num w:numId="21" w16cid:durableId="979044295">
    <w:abstractNumId w:val="19"/>
  </w:num>
  <w:num w:numId="22" w16cid:durableId="780690380">
    <w:abstractNumId w:val="34"/>
  </w:num>
  <w:num w:numId="23" w16cid:durableId="621037020">
    <w:abstractNumId w:val="10"/>
  </w:num>
  <w:num w:numId="24" w16cid:durableId="1036539141">
    <w:abstractNumId w:val="42"/>
  </w:num>
  <w:num w:numId="25" w16cid:durableId="1771659061">
    <w:abstractNumId w:val="44"/>
  </w:num>
  <w:num w:numId="26" w16cid:durableId="539779411">
    <w:abstractNumId w:val="27"/>
  </w:num>
  <w:num w:numId="27" w16cid:durableId="117531897">
    <w:abstractNumId w:val="39"/>
  </w:num>
  <w:num w:numId="28" w16cid:durableId="1177354715">
    <w:abstractNumId w:val="36"/>
  </w:num>
  <w:num w:numId="29" w16cid:durableId="1502506376">
    <w:abstractNumId w:val="17"/>
  </w:num>
  <w:num w:numId="30" w16cid:durableId="1968193110">
    <w:abstractNumId w:val="8"/>
  </w:num>
  <w:num w:numId="31" w16cid:durableId="1191457687">
    <w:abstractNumId w:val="41"/>
  </w:num>
  <w:num w:numId="32" w16cid:durableId="794253998">
    <w:abstractNumId w:val="0"/>
  </w:num>
  <w:num w:numId="33" w16cid:durableId="24524639">
    <w:abstractNumId w:val="26"/>
  </w:num>
  <w:num w:numId="34" w16cid:durableId="892810811">
    <w:abstractNumId w:val="24"/>
  </w:num>
  <w:num w:numId="35" w16cid:durableId="7342511">
    <w:abstractNumId w:val="21"/>
  </w:num>
  <w:num w:numId="36" w16cid:durableId="1845900796">
    <w:abstractNumId w:val="22"/>
  </w:num>
  <w:num w:numId="37" w16cid:durableId="397482242">
    <w:abstractNumId w:val="20"/>
  </w:num>
  <w:num w:numId="38" w16cid:durableId="1461798616">
    <w:abstractNumId w:val="32"/>
  </w:num>
  <w:num w:numId="39" w16cid:durableId="1206791800">
    <w:abstractNumId w:val="38"/>
  </w:num>
  <w:num w:numId="40" w16cid:durableId="63648652">
    <w:abstractNumId w:val="2"/>
  </w:num>
  <w:num w:numId="41" w16cid:durableId="980576894">
    <w:abstractNumId w:val="9"/>
  </w:num>
  <w:num w:numId="42" w16cid:durableId="2143957119">
    <w:abstractNumId w:val="1"/>
  </w:num>
  <w:num w:numId="43" w16cid:durableId="760569300">
    <w:abstractNumId w:val="37"/>
  </w:num>
  <w:num w:numId="44" w16cid:durableId="560479854">
    <w:abstractNumId w:val="14"/>
  </w:num>
  <w:num w:numId="45" w16cid:durableId="190846623">
    <w:abstractNumId w:val="45"/>
  </w:num>
  <w:num w:numId="46" w16cid:durableId="1222592829">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5FB"/>
    <w:rsid w:val="00007A9B"/>
    <w:rsid w:val="00023941"/>
    <w:rsid w:val="0002559D"/>
    <w:rsid w:val="00031859"/>
    <w:rsid w:val="00031EC1"/>
    <w:rsid w:val="000415BA"/>
    <w:rsid w:val="00052F16"/>
    <w:rsid w:val="00053B07"/>
    <w:rsid w:val="00055173"/>
    <w:rsid w:val="00070B25"/>
    <w:rsid w:val="000731BA"/>
    <w:rsid w:val="00074AD1"/>
    <w:rsid w:val="00082EAB"/>
    <w:rsid w:val="00085767"/>
    <w:rsid w:val="00095B2D"/>
    <w:rsid w:val="0009743D"/>
    <w:rsid w:val="000A0672"/>
    <w:rsid w:val="000A0C33"/>
    <w:rsid w:val="000A2410"/>
    <w:rsid w:val="000A25C5"/>
    <w:rsid w:val="000A2E2C"/>
    <w:rsid w:val="000A5247"/>
    <w:rsid w:val="000A7540"/>
    <w:rsid w:val="000B31A9"/>
    <w:rsid w:val="000B52DD"/>
    <w:rsid w:val="000C1C46"/>
    <w:rsid w:val="000C6F6A"/>
    <w:rsid w:val="000C70FD"/>
    <w:rsid w:val="000C7E0C"/>
    <w:rsid w:val="000D6EBE"/>
    <w:rsid w:val="000E78C6"/>
    <w:rsid w:val="000F075A"/>
    <w:rsid w:val="001063AE"/>
    <w:rsid w:val="00107E15"/>
    <w:rsid w:val="001115FB"/>
    <w:rsid w:val="00117244"/>
    <w:rsid w:val="0012774A"/>
    <w:rsid w:val="0013230B"/>
    <w:rsid w:val="00145D46"/>
    <w:rsid w:val="00154D4F"/>
    <w:rsid w:val="00170780"/>
    <w:rsid w:val="0017101F"/>
    <w:rsid w:val="001842FD"/>
    <w:rsid w:val="00191B2D"/>
    <w:rsid w:val="001A3105"/>
    <w:rsid w:val="001A6C6B"/>
    <w:rsid w:val="001A6F33"/>
    <w:rsid w:val="001B2707"/>
    <w:rsid w:val="001B3302"/>
    <w:rsid w:val="001E131C"/>
    <w:rsid w:val="001E16C4"/>
    <w:rsid w:val="001E1C1F"/>
    <w:rsid w:val="001E205D"/>
    <w:rsid w:val="001E2A5C"/>
    <w:rsid w:val="001E31BD"/>
    <w:rsid w:val="001F0BFD"/>
    <w:rsid w:val="002068A8"/>
    <w:rsid w:val="0021334C"/>
    <w:rsid w:val="002253DE"/>
    <w:rsid w:val="00243847"/>
    <w:rsid w:val="0024534F"/>
    <w:rsid w:val="00245DE3"/>
    <w:rsid w:val="00245EA3"/>
    <w:rsid w:val="0025729A"/>
    <w:rsid w:val="00260ACA"/>
    <w:rsid w:val="00267AE6"/>
    <w:rsid w:val="00267B78"/>
    <w:rsid w:val="00267F9A"/>
    <w:rsid w:val="00292C22"/>
    <w:rsid w:val="00296CB9"/>
    <w:rsid w:val="002B410B"/>
    <w:rsid w:val="002C6704"/>
    <w:rsid w:val="002E228E"/>
    <w:rsid w:val="002F4EF8"/>
    <w:rsid w:val="002F6F38"/>
    <w:rsid w:val="0031479F"/>
    <w:rsid w:val="0032166C"/>
    <w:rsid w:val="0032593A"/>
    <w:rsid w:val="0033681B"/>
    <w:rsid w:val="00340EE4"/>
    <w:rsid w:val="00341A06"/>
    <w:rsid w:val="003462C7"/>
    <w:rsid w:val="0035468A"/>
    <w:rsid w:val="00355B6C"/>
    <w:rsid w:val="00357E7C"/>
    <w:rsid w:val="00357F52"/>
    <w:rsid w:val="00361D62"/>
    <w:rsid w:val="00361D93"/>
    <w:rsid w:val="0036257A"/>
    <w:rsid w:val="00365826"/>
    <w:rsid w:val="003673E0"/>
    <w:rsid w:val="00373877"/>
    <w:rsid w:val="00374261"/>
    <w:rsid w:val="00375256"/>
    <w:rsid w:val="003811D8"/>
    <w:rsid w:val="00383088"/>
    <w:rsid w:val="00393BA4"/>
    <w:rsid w:val="003B07E4"/>
    <w:rsid w:val="003B112B"/>
    <w:rsid w:val="003B25C1"/>
    <w:rsid w:val="003C15D7"/>
    <w:rsid w:val="003D33B9"/>
    <w:rsid w:val="003D5784"/>
    <w:rsid w:val="003E0691"/>
    <w:rsid w:val="003E473E"/>
    <w:rsid w:val="003F186D"/>
    <w:rsid w:val="00404330"/>
    <w:rsid w:val="004164D8"/>
    <w:rsid w:val="00421E8E"/>
    <w:rsid w:val="00436534"/>
    <w:rsid w:val="004403EC"/>
    <w:rsid w:val="00466B68"/>
    <w:rsid w:val="00470FEC"/>
    <w:rsid w:val="00472C84"/>
    <w:rsid w:val="00475C38"/>
    <w:rsid w:val="0047692F"/>
    <w:rsid w:val="00477164"/>
    <w:rsid w:val="00480876"/>
    <w:rsid w:val="00490C73"/>
    <w:rsid w:val="00493C08"/>
    <w:rsid w:val="004946E3"/>
    <w:rsid w:val="004A3EE3"/>
    <w:rsid w:val="004A4222"/>
    <w:rsid w:val="004A5DB8"/>
    <w:rsid w:val="004B0C4B"/>
    <w:rsid w:val="004B2981"/>
    <w:rsid w:val="004B783B"/>
    <w:rsid w:val="004C5C93"/>
    <w:rsid w:val="004C6D83"/>
    <w:rsid w:val="005050E8"/>
    <w:rsid w:val="0051548F"/>
    <w:rsid w:val="005173CE"/>
    <w:rsid w:val="00521DCC"/>
    <w:rsid w:val="00523D0C"/>
    <w:rsid w:val="00535C5D"/>
    <w:rsid w:val="00536713"/>
    <w:rsid w:val="0054060B"/>
    <w:rsid w:val="00551020"/>
    <w:rsid w:val="00562557"/>
    <w:rsid w:val="00567D36"/>
    <w:rsid w:val="005802D5"/>
    <w:rsid w:val="00581E3E"/>
    <w:rsid w:val="005830F4"/>
    <w:rsid w:val="00583BAA"/>
    <w:rsid w:val="00583DDB"/>
    <w:rsid w:val="00591220"/>
    <w:rsid w:val="005A2965"/>
    <w:rsid w:val="005A3DF9"/>
    <w:rsid w:val="005A4A5D"/>
    <w:rsid w:val="005B425B"/>
    <w:rsid w:val="005C04A3"/>
    <w:rsid w:val="005C0C82"/>
    <w:rsid w:val="005C4244"/>
    <w:rsid w:val="005C75AA"/>
    <w:rsid w:val="005C7FD7"/>
    <w:rsid w:val="005D4CEE"/>
    <w:rsid w:val="005D52D4"/>
    <w:rsid w:val="005D557C"/>
    <w:rsid w:val="005E1AA8"/>
    <w:rsid w:val="005E3445"/>
    <w:rsid w:val="005E631A"/>
    <w:rsid w:val="005F0231"/>
    <w:rsid w:val="005F253E"/>
    <w:rsid w:val="005F410F"/>
    <w:rsid w:val="00606C6B"/>
    <w:rsid w:val="00607312"/>
    <w:rsid w:val="00631DE6"/>
    <w:rsid w:val="0063490F"/>
    <w:rsid w:val="00635654"/>
    <w:rsid w:val="0064021A"/>
    <w:rsid w:val="00642903"/>
    <w:rsid w:val="00645C5D"/>
    <w:rsid w:val="0064689E"/>
    <w:rsid w:val="00647BAD"/>
    <w:rsid w:val="00653C02"/>
    <w:rsid w:val="00667875"/>
    <w:rsid w:val="00671CED"/>
    <w:rsid w:val="006741E3"/>
    <w:rsid w:val="006819E5"/>
    <w:rsid w:val="00684DD3"/>
    <w:rsid w:val="00696394"/>
    <w:rsid w:val="006B3048"/>
    <w:rsid w:val="006B4F1E"/>
    <w:rsid w:val="006B5D81"/>
    <w:rsid w:val="006C3E88"/>
    <w:rsid w:val="006D0E82"/>
    <w:rsid w:val="006D46AB"/>
    <w:rsid w:val="006E6691"/>
    <w:rsid w:val="006F618D"/>
    <w:rsid w:val="00710520"/>
    <w:rsid w:val="0071291C"/>
    <w:rsid w:val="007148D3"/>
    <w:rsid w:val="00731F04"/>
    <w:rsid w:val="00732265"/>
    <w:rsid w:val="007448E7"/>
    <w:rsid w:val="007557A7"/>
    <w:rsid w:val="00762133"/>
    <w:rsid w:val="007809D1"/>
    <w:rsid w:val="00782124"/>
    <w:rsid w:val="007971B5"/>
    <w:rsid w:val="007A01C2"/>
    <w:rsid w:val="007A0618"/>
    <w:rsid w:val="007A5CD4"/>
    <w:rsid w:val="007A756D"/>
    <w:rsid w:val="007B12A9"/>
    <w:rsid w:val="007B4E26"/>
    <w:rsid w:val="007C1091"/>
    <w:rsid w:val="007C4935"/>
    <w:rsid w:val="007D19EF"/>
    <w:rsid w:val="007D25E0"/>
    <w:rsid w:val="007D6434"/>
    <w:rsid w:val="007E1951"/>
    <w:rsid w:val="007E635C"/>
    <w:rsid w:val="007F07A6"/>
    <w:rsid w:val="007F3281"/>
    <w:rsid w:val="007F731B"/>
    <w:rsid w:val="0080635F"/>
    <w:rsid w:val="00810245"/>
    <w:rsid w:val="0081559E"/>
    <w:rsid w:val="0082040F"/>
    <w:rsid w:val="00831C18"/>
    <w:rsid w:val="00835574"/>
    <w:rsid w:val="00841546"/>
    <w:rsid w:val="008420EF"/>
    <w:rsid w:val="00842D11"/>
    <w:rsid w:val="008440D3"/>
    <w:rsid w:val="008447EC"/>
    <w:rsid w:val="00851DF0"/>
    <w:rsid w:val="00857730"/>
    <w:rsid w:val="00873F73"/>
    <w:rsid w:val="0087643F"/>
    <w:rsid w:val="00877997"/>
    <w:rsid w:val="00887F07"/>
    <w:rsid w:val="00892736"/>
    <w:rsid w:val="00894A8B"/>
    <w:rsid w:val="008A4D95"/>
    <w:rsid w:val="008B0C6B"/>
    <w:rsid w:val="008B4F00"/>
    <w:rsid w:val="008B66BC"/>
    <w:rsid w:val="008B7E52"/>
    <w:rsid w:val="008C242A"/>
    <w:rsid w:val="008C4FB4"/>
    <w:rsid w:val="008D3E34"/>
    <w:rsid w:val="008D54E8"/>
    <w:rsid w:val="008E5E8C"/>
    <w:rsid w:val="008F1C18"/>
    <w:rsid w:val="008F4BD4"/>
    <w:rsid w:val="008F68B0"/>
    <w:rsid w:val="00903F4C"/>
    <w:rsid w:val="009141E4"/>
    <w:rsid w:val="00914DEB"/>
    <w:rsid w:val="009157BA"/>
    <w:rsid w:val="00916C1A"/>
    <w:rsid w:val="00932980"/>
    <w:rsid w:val="00934F0A"/>
    <w:rsid w:val="009427C7"/>
    <w:rsid w:val="00945C71"/>
    <w:rsid w:val="0096076C"/>
    <w:rsid w:val="00962564"/>
    <w:rsid w:val="009670D7"/>
    <w:rsid w:val="009746AE"/>
    <w:rsid w:val="009838C9"/>
    <w:rsid w:val="00983EF9"/>
    <w:rsid w:val="009919DB"/>
    <w:rsid w:val="00994CDD"/>
    <w:rsid w:val="009967A2"/>
    <w:rsid w:val="009A1FCC"/>
    <w:rsid w:val="009A31FD"/>
    <w:rsid w:val="009B0A43"/>
    <w:rsid w:val="009B6518"/>
    <w:rsid w:val="009B6C53"/>
    <w:rsid w:val="009C11A0"/>
    <w:rsid w:val="009D40C2"/>
    <w:rsid w:val="009D744F"/>
    <w:rsid w:val="009E020C"/>
    <w:rsid w:val="009E61C0"/>
    <w:rsid w:val="009F05ED"/>
    <w:rsid w:val="009F5013"/>
    <w:rsid w:val="00A00EC1"/>
    <w:rsid w:val="00A262F9"/>
    <w:rsid w:val="00A2641A"/>
    <w:rsid w:val="00A264EA"/>
    <w:rsid w:val="00A26CB2"/>
    <w:rsid w:val="00A26EF6"/>
    <w:rsid w:val="00A3527F"/>
    <w:rsid w:val="00A359E5"/>
    <w:rsid w:val="00A36FBF"/>
    <w:rsid w:val="00A447F9"/>
    <w:rsid w:val="00A44D95"/>
    <w:rsid w:val="00A503CB"/>
    <w:rsid w:val="00A51759"/>
    <w:rsid w:val="00A823E5"/>
    <w:rsid w:val="00A82CEA"/>
    <w:rsid w:val="00A847D5"/>
    <w:rsid w:val="00A97DEE"/>
    <w:rsid w:val="00AA222C"/>
    <w:rsid w:val="00AA3BA7"/>
    <w:rsid w:val="00AA6577"/>
    <w:rsid w:val="00AA77CE"/>
    <w:rsid w:val="00AB67F0"/>
    <w:rsid w:val="00AC1E3E"/>
    <w:rsid w:val="00AC4001"/>
    <w:rsid w:val="00AD5CAE"/>
    <w:rsid w:val="00AF223E"/>
    <w:rsid w:val="00B0171B"/>
    <w:rsid w:val="00B1028A"/>
    <w:rsid w:val="00B14653"/>
    <w:rsid w:val="00B15C55"/>
    <w:rsid w:val="00B17DF0"/>
    <w:rsid w:val="00B23B94"/>
    <w:rsid w:val="00B27731"/>
    <w:rsid w:val="00B56269"/>
    <w:rsid w:val="00B65C70"/>
    <w:rsid w:val="00B67242"/>
    <w:rsid w:val="00B8029D"/>
    <w:rsid w:val="00BA5B8D"/>
    <w:rsid w:val="00BB1A78"/>
    <w:rsid w:val="00BB52A9"/>
    <w:rsid w:val="00BB7155"/>
    <w:rsid w:val="00BC7328"/>
    <w:rsid w:val="00BD069C"/>
    <w:rsid w:val="00BD23BE"/>
    <w:rsid w:val="00BF405D"/>
    <w:rsid w:val="00C0226F"/>
    <w:rsid w:val="00C0462B"/>
    <w:rsid w:val="00C13824"/>
    <w:rsid w:val="00C24762"/>
    <w:rsid w:val="00C31EE8"/>
    <w:rsid w:val="00C3467E"/>
    <w:rsid w:val="00C35153"/>
    <w:rsid w:val="00C40C0D"/>
    <w:rsid w:val="00C415DE"/>
    <w:rsid w:val="00C4410F"/>
    <w:rsid w:val="00C50954"/>
    <w:rsid w:val="00C52304"/>
    <w:rsid w:val="00C52939"/>
    <w:rsid w:val="00C54AFC"/>
    <w:rsid w:val="00C5649E"/>
    <w:rsid w:val="00C57335"/>
    <w:rsid w:val="00C62AEE"/>
    <w:rsid w:val="00C62BAB"/>
    <w:rsid w:val="00C641B6"/>
    <w:rsid w:val="00C6702F"/>
    <w:rsid w:val="00C82289"/>
    <w:rsid w:val="00C83BF9"/>
    <w:rsid w:val="00C94114"/>
    <w:rsid w:val="00C96496"/>
    <w:rsid w:val="00CA4251"/>
    <w:rsid w:val="00CB7B0D"/>
    <w:rsid w:val="00CC1F78"/>
    <w:rsid w:val="00CF12D9"/>
    <w:rsid w:val="00D04B80"/>
    <w:rsid w:val="00D26941"/>
    <w:rsid w:val="00D27CF4"/>
    <w:rsid w:val="00D327C6"/>
    <w:rsid w:val="00D3332E"/>
    <w:rsid w:val="00D431A5"/>
    <w:rsid w:val="00D64683"/>
    <w:rsid w:val="00D67C93"/>
    <w:rsid w:val="00D74D24"/>
    <w:rsid w:val="00D915E6"/>
    <w:rsid w:val="00D975DE"/>
    <w:rsid w:val="00DA7CD9"/>
    <w:rsid w:val="00DB07E7"/>
    <w:rsid w:val="00DB2D9B"/>
    <w:rsid w:val="00DC5444"/>
    <w:rsid w:val="00DC5B24"/>
    <w:rsid w:val="00DC5C1B"/>
    <w:rsid w:val="00DD1A79"/>
    <w:rsid w:val="00DD257E"/>
    <w:rsid w:val="00DD2B8B"/>
    <w:rsid w:val="00DD3BEB"/>
    <w:rsid w:val="00DD498A"/>
    <w:rsid w:val="00DE4C67"/>
    <w:rsid w:val="00DF68CE"/>
    <w:rsid w:val="00E047FC"/>
    <w:rsid w:val="00E26AFC"/>
    <w:rsid w:val="00E36DAB"/>
    <w:rsid w:val="00E36FC3"/>
    <w:rsid w:val="00E3780C"/>
    <w:rsid w:val="00E42435"/>
    <w:rsid w:val="00E4784D"/>
    <w:rsid w:val="00E51BEF"/>
    <w:rsid w:val="00E55C8E"/>
    <w:rsid w:val="00E55CB3"/>
    <w:rsid w:val="00E63A3C"/>
    <w:rsid w:val="00E651BD"/>
    <w:rsid w:val="00E83EC5"/>
    <w:rsid w:val="00E850D0"/>
    <w:rsid w:val="00E878FF"/>
    <w:rsid w:val="00E97624"/>
    <w:rsid w:val="00EA532B"/>
    <w:rsid w:val="00ED3566"/>
    <w:rsid w:val="00ED366A"/>
    <w:rsid w:val="00ED6ED9"/>
    <w:rsid w:val="00EE4AA4"/>
    <w:rsid w:val="00EE5FC4"/>
    <w:rsid w:val="00F05DBB"/>
    <w:rsid w:val="00F1132D"/>
    <w:rsid w:val="00F117FC"/>
    <w:rsid w:val="00F16A0F"/>
    <w:rsid w:val="00F231B6"/>
    <w:rsid w:val="00F27685"/>
    <w:rsid w:val="00F359FB"/>
    <w:rsid w:val="00F428A5"/>
    <w:rsid w:val="00F53BEC"/>
    <w:rsid w:val="00F66CFA"/>
    <w:rsid w:val="00F745E3"/>
    <w:rsid w:val="00F77FC9"/>
    <w:rsid w:val="00F81AFF"/>
    <w:rsid w:val="00F854AC"/>
    <w:rsid w:val="00F92922"/>
    <w:rsid w:val="00F95E70"/>
    <w:rsid w:val="00FC1A4D"/>
    <w:rsid w:val="00FC25C6"/>
    <w:rsid w:val="00FC319E"/>
    <w:rsid w:val="00FD038E"/>
    <w:rsid w:val="00FE5D0E"/>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09E03"/>
  <w15:chartTrackingRefBased/>
  <w15:docId w15:val="{616B28BB-3E45-48C7-A973-89139B7B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26C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semiHidden/>
    <w:unhideWhenUsed/>
    <w:qFormat/>
    <w:rsid w:val="00CF12D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D431A5"/>
    <w:pPr>
      <w:spacing w:after="200" w:line="240" w:lineRule="auto"/>
    </w:pPr>
    <w:rPr>
      <w:i/>
      <w:iCs/>
      <w:color w:val="44546A" w:themeColor="text2"/>
      <w:sz w:val="18"/>
      <w:szCs w:val="18"/>
    </w:rPr>
  </w:style>
  <w:style w:type="paragraph" w:styleId="Sinespaciado">
    <w:name w:val="No Spacing"/>
    <w:uiPriority w:val="1"/>
    <w:qFormat/>
    <w:rsid w:val="00710520"/>
    <w:pPr>
      <w:spacing w:after="0" w:line="240" w:lineRule="auto"/>
    </w:pPr>
  </w:style>
  <w:style w:type="paragraph" w:styleId="Prrafodelista">
    <w:name w:val="List Paragraph"/>
    <w:basedOn w:val="Normal"/>
    <w:uiPriority w:val="34"/>
    <w:qFormat/>
    <w:rsid w:val="0025729A"/>
    <w:pPr>
      <w:ind w:left="720"/>
      <w:contextualSpacing/>
    </w:pPr>
  </w:style>
  <w:style w:type="paragraph" w:styleId="Textonotapie">
    <w:name w:val="footnote text"/>
    <w:basedOn w:val="Normal"/>
    <w:link w:val="TextonotapieCar"/>
    <w:uiPriority w:val="99"/>
    <w:unhideWhenUsed/>
    <w:rsid w:val="00B23B94"/>
    <w:pPr>
      <w:spacing w:after="0" w:line="240" w:lineRule="auto"/>
    </w:pPr>
    <w:rPr>
      <w:sz w:val="20"/>
      <w:szCs w:val="20"/>
    </w:rPr>
  </w:style>
  <w:style w:type="character" w:customStyle="1" w:styleId="TextonotapieCar">
    <w:name w:val="Texto nota pie Car"/>
    <w:basedOn w:val="Fuentedeprrafopredeter"/>
    <w:link w:val="Textonotapie"/>
    <w:uiPriority w:val="99"/>
    <w:rsid w:val="00B23B94"/>
    <w:rPr>
      <w:sz w:val="20"/>
      <w:szCs w:val="20"/>
    </w:rPr>
  </w:style>
  <w:style w:type="character" w:styleId="Refdenotaalpie">
    <w:name w:val="footnote reference"/>
    <w:basedOn w:val="Fuentedeprrafopredeter"/>
    <w:uiPriority w:val="99"/>
    <w:semiHidden/>
    <w:unhideWhenUsed/>
    <w:rsid w:val="00B23B94"/>
    <w:rPr>
      <w:vertAlign w:val="superscript"/>
    </w:rPr>
  </w:style>
  <w:style w:type="table" w:styleId="Tablaconcuadrcula">
    <w:name w:val="Table Grid"/>
    <w:basedOn w:val="Tablanormal"/>
    <w:uiPriority w:val="39"/>
    <w:rsid w:val="00C5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8B66BC"/>
    <w:pPr>
      <w:widowControl w:val="0"/>
      <w:autoSpaceDE w:val="0"/>
      <w:autoSpaceDN w:val="0"/>
      <w:spacing w:after="0" w:line="240" w:lineRule="auto"/>
    </w:pPr>
    <w:rPr>
      <w:rFonts w:ascii="Calibri" w:eastAsia="Calibri" w:hAnsi="Calibri" w:cs="Calibri"/>
      <w:sz w:val="20"/>
      <w:szCs w:val="20"/>
      <w:lang w:eastAsia="es-MX" w:bidi="es-MX"/>
    </w:rPr>
  </w:style>
  <w:style w:type="character" w:customStyle="1" w:styleId="TextocomentarioCar">
    <w:name w:val="Texto comentario Car"/>
    <w:basedOn w:val="Fuentedeprrafopredeter"/>
    <w:link w:val="Textocomentario"/>
    <w:uiPriority w:val="99"/>
    <w:semiHidden/>
    <w:rsid w:val="008B66BC"/>
    <w:rPr>
      <w:rFonts w:ascii="Calibri" w:eastAsia="Calibri" w:hAnsi="Calibri" w:cs="Calibri"/>
      <w:sz w:val="20"/>
      <w:szCs w:val="20"/>
      <w:lang w:eastAsia="es-MX" w:bidi="es-MX"/>
    </w:rPr>
  </w:style>
  <w:style w:type="paragraph" w:customStyle="1" w:styleId="TableParagraph">
    <w:name w:val="Table Paragraph"/>
    <w:basedOn w:val="Normal"/>
    <w:uiPriority w:val="1"/>
    <w:qFormat/>
    <w:rsid w:val="008B66BC"/>
    <w:pPr>
      <w:widowControl w:val="0"/>
      <w:autoSpaceDE w:val="0"/>
      <w:autoSpaceDN w:val="0"/>
      <w:spacing w:after="0" w:line="240" w:lineRule="auto"/>
      <w:jc w:val="right"/>
    </w:pPr>
    <w:rPr>
      <w:rFonts w:ascii="Calibri" w:eastAsia="Calibri" w:hAnsi="Calibri" w:cs="Calibri"/>
      <w:lang w:eastAsia="es-MX" w:bidi="es-MX"/>
    </w:rPr>
  </w:style>
  <w:style w:type="paragraph" w:styleId="Encabezado">
    <w:name w:val="header"/>
    <w:basedOn w:val="Normal"/>
    <w:link w:val="EncabezadoCar"/>
    <w:uiPriority w:val="99"/>
    <w:unhideWhenUsed/>
    <w:rsid w:val="00A44D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4D95"/>
  </w:style>
  <w:style w:type="paragraph" w:styleId="Piedepgina">
    <w:name w:val="footer"/>
    <w:basedOn w:val="Normal"/>
    <w:link w:val="PiedepginaCar"/>
    <w:uiPriority w:val="99"/>
    <w:unhideWhenUsed/>
    <w:rsid w:val="00A44D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D95"/>
  </w:style>
  <w:style w:type="paragraph" w:customStyle="1" w:styleId="Sinespaciado1">
    <w:name w:val="Sin espaciado1"/>
    <w:uiPriority w:val="1"/>
    <w:qFormat/>
    <w:rsid w:val="00A44D95"/>
    <w:pPr>
      <w:spacing w:after="0" w:line="240" w:lineRule="auto"/>
    </w:pPr>
    <w:rPr>
      <w:rFonts w:ascii="Calibri" w:eastAsia="Times New Roman" w:hAnsi="Calibri" w:cs="Times New Roman"/>
      <w:lang w:val="es-ES"/>
    </w:rPr>
  </w:style>
  <w:style w:type="paragraph" w:styleId="NormalWeb">
    <w:name w:val="Normal (Web)"/>
    <w:basedOn w:val="Normal"/>
    <w:uiPriority w:val="99"/>
    <w:semiHidden/>
    <w:unhideWhenUsed/>
    <w:rsid w:val="00F81AF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eNormal">
    <w:name w:val="Table Normal"/>
    <w:rsid w:val="000A241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419" w:eastAsia="es-419"/>
    </w:rPr>
    <w:tblPr>
      <w:tblInd w:w="0" w:type="dxa"/>
      <w:tblCellMar>
        <w:top w:w="0" w:type="dxa"/>
        <w:left w:w="0" w:type="dxa"/>
        <w:bottom w:w="0" w:type="dxa"/>
        <w:right w:w="0" w:type="dxa"/>
      </w:tblCellMar>
    </w:tblPr>
  </w:style>
  <w:style w:type="character" w:customStyle="1" w:styleId="Ninguno">
    <w:name w:val="Ninguno"/>
    <w:rsid w:val="000A2410"/>
  </w:style>
  <w:style w:type="character" w:customStyle="1" w:styleId="Ttulo2Car">
    <w:name w:val="Título 2 Car"/>
    <w:basedOn w:val="Fuentedeprrafopredeter"/>
    <w:link w:val="Ttulo2"/>
    <w:uiPriority w:val="9"/>
    <w:semiHidden/>
    <w:rsid w:val="00CF12D9"/>
    <w:rPr>
      <w:rFonts w:ascii="Times New Roman" w:eastAsia="Times New Roman" w:hAnsi="Times New Roman" w:cs="Times New Roman"/>
      <w:b/>
      <w:bCs/>
      <w:sz w:val="36"/>
      <w:szCs w:val="36"/>
      <w:lang w:eastAsia="es-MX"/>
    </w:rPr>
  </w:style>
  <w:style w:type="character" w:styleId="nfasis">
    <w:name w:val="Emphasis"/>
    <w:basedOn w:val="Fuentedeprrafopredeter"/>
    <w:uiPriority w:val="20"/>
    <w:qFormat/>
    <w:rsid w:val="00C62AEE"/>
    <w:rPr>
      <w:i/>
      <w:iCs/>
    </w:rPr>
  </w:style>
  <w:style w:type="character" w:customStyle="1" w:styleId="Ttulo1Car">
    <w:name w:val="Título 1 Car"/>
    <w:basedOn w:val="Fuentedeprrafopredeter"/>
    <w:link w:val="Ttulo1"/>
    <w:uiPriority w:val="9"/>
    <w:rsid w:val="00A26C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7574">
      <w:bodyDiv w:val="1"/>
      <w:marLeft w:val="0"/>
      <w:marRight w:val="0"/>
      <w:marTop w:val="0"/>
      <w:marBottom w:val="0"/>
      <w:divBdr>
        <w:top w:val="none" w:sz="0" w:space="0" w:color="auto"/>
        <w:left w:val="none" w:sz="0" w:space="0" w:color="auto"/>
        <w:bottom w:val="none" w:sz="0" w:space="0" w:color="auto"/>
        <w:right w:val="none" w:sz="0" w:space="0" w:color="auto"/>
      </w:divBdr>
    </w:div>
    <w:div w:id="571424849">
      <w:bodyDiv w:val="1"/>
      <w:marLeft w:val="0"/>
      <w:marRight w:val="0"/>
      <w:marTop w:val="0"/>
      <w:marBottom w:val="0"/>
      <w:divBdr>
        <w:top w:val="none" w:sz="0" w:space="0" w:color="auto"/>
        <w:left w:val="none" w:sz="0" w:space="0" w:color="auto"/>
        <w:bottom w:val="none" w:sz="0" w:space="0" w:color="auto"/>
        <w:right w:val="none" w:sz="0" w:space="0" w:color="auto"/>
      </w:divBdr>
    </w:div>
    <w:div w:id="803961968">
      <w:bodyDiv w:val="1"/>
      <w:marLeft w:val="0"/>
      <w:marRight w:val="0"/>
      <w:marTop w:val="0"/>
      <w:marBottom w:val="0"/>
      <w:divBdr>
        <w:top w:val="none" w:sz="0" w:space="0" w:color="auto"/>
        <w:left w:val="none" w:sz="0" w:space="0" w:color="auto"/>
        <w:bottom w:val="none" w:sz="0" w:space="0" w:color="auto"/>
        <w:right w:val="none" w:sz="0" w:space="0" w:color="auto"/>
      </w:divBdr>
    </w:div>
    <w:div w:id="987247275">
      <w:bodyDiv w:val="1"/>
      <w:marLeft w:val="0"/>
      <w:marRight w:val="0"/>
      <w:marTop w:val="0"/>
      <w:marBottom w:val="0"/>
      <w:divBdr>
        <w:top w:val="none" w:sz="0" w:space="0" w:color="auto"/>
        <w:left w:val="none" w:sz="0" w:space="0" w:color="auto"/>
        <w:bottom w:val="none" w:sz="0" w:space="0" w:color="auto"/>
        <w:right w:val="none" w:sz="0" w:space="0" w:color="auto"/>
      </w:divBdr>
    </w:div>
    <w:div w:id="1020397011">
      <w:bodyDiv w:val="1"/>
      <w:marLeft w:val="0"/>
      <w:marRight w:val="0"/>
      <w:marTop w:val="0"/>
      <w:marBottom w:val="0"/>
      <w:divBdr>
        <w:top w:val="none" w:sz="0" w:space="0" w:color="auto"/>
        <w:left w:val="none" w:sz="0" w:space="0" w:color="auto"/>
        <w:bottom w:val="none" w:sz="0" w:space="0" w:color="auto"/>
        <w:right w:val="none" w:sz="0" w:space="0" w:color="auto"/>
      </w:divBdr>
    </w:div>
    <w:div w:id="1059749406">
      <w:bodyDiv w:val="1"/>
      <w:marLeft w:val="0"/>
      <w:marRight w:val="0"/>
      <w:marTop w:val="0"/>
      <w:marBottom w:val="0"/>
      <w:divBdr>
        <w:top w:val="none" w:sz="0" w:space="0" w:color="auto"/>
        <w:left w:val="none" w:sz="0" w:space="0" w:color="auto"/>
        <w:bottom w:val="none" w:sz="0" w:space="0" w:color="auto"/>
        <w:right w:val="none" w:sz="0" w:space="0" w:color="auto"/>
      </w:divBdr>
    </w:div>
    <w:div w:id="1099639393">
      <w:bodyDiv w:val="1"/>
      <w:marLeft w:val="0"/>
      <w:marRight w:val="0"/>
      <w:marTop w:val="0"/>
      <w:marBottom w:val="0"/>
      <w:divBdr>
        <w:top w:val="none" w:sz="0" w:space="0" w:color="auto"/>
        <w:left w:val="none" w:sz="0" w:space="0" w:color="auto"/>
        <w:bottom w:val="none" w:sz="0" w:space="0" w:color="auto"/>
        <w:right w:val="none" w:sz="0" w:space="0" w:color="auto"/>
      </w:divBdr>
    </w:div>
    <w:div w:id="1120879941">
      <w:bodyDiv w:val="1"/>
      <w:marLeft w:val="0"/>
      <w:marRight w:val="0"/>
      <w:marTop w:val="0"/>
      <w:marBottom w:val="0"/>
      <w:divBdr>
        <w:top w:val="none" w:sz="0" w:space="0" w:color="auto"/>
        <w:left w:val="none" w:sz="0" w:space="0" w:color="auto"/>
        <w:bottom w:val="none" w:sz="0" w:space="0" w:color="auto"/>
        <w:right w:val="none" w:sz="0" w:space="0" w:color="auto"/>
      </w:divBdr>
    </w:div>
    <w:div w:id="1155799405">
      <w:bodyDiv w:val="1"/>
      <w:marLeft w:val="0"/>
      <w:marRight w:val="0"/>
      <w:marTop w:val="0"/>
      <w:marBottom w:val="0"/>
      <w:divBdr>
        <w:top w:val="none" w:sz="0" w:space="0" w:color="auto"/>
        <w:left w:val="none" w:sz="0" w:space="0" w:color="auto"/>
        <w:bottom w:val="none" w:sz="0" w:space="0" w:color="auto"/>
        <w:right w:val="none" w:sz="0" w:space="0" w:color="auto"/>
      </w:divBdr>
    </w:div>
    <w:div w:id="1249266292">
      <w:bodyDiv w:val="1"/>
      <w:marLeft w:val="0"/>
      <w:marRight w:val="0"/>
      <w:marTop w:val="0"/>
      <w:marBottom w:val="0"/>
      <w:divBdr>
        <w:top w:val="none" w:sz="0" w:space="0" w:color="auto"/>
        <w:left w:val="none" w:sz="0" w:space="0" w:color="auto"/>
        <w:bottom w:val="none" w:sz="0" w:space="0" w:color="auto"/>
        <w:right w:val="none" w:sz="0" w:space="0" w:color="auto"/>
      </w:divBdr>
    </w:div>
    <w:div w:id="1466699824">
      <w:bodyDiv w:val="1"/>
      <w:marLeft w:val="0"/>
      <w:marRight w:val="0"/>
      <w:marTop w:val="0"/>
      <w:marBottom w:val="0"/>
      <w:divBdr>
        <w:top w:val="none" w:sz="0" w:space="0" w:color="auto"/>
        <w:left w:val="none" w:sz="0" w:space="0" w:color="auto"/>
        <w:bottom w:val="none" w:sz="0" w:space="0" w:color="auto"/>
        <w:right w:val="none" w:sz="0" w:space="0" w:color="auto"/>
      </w:divBdr>
    </w:div>
    <w:div w:id="1492910324">
      <w:bodyDiv w:val="1"/>
      <w:marLeft w:val="0"/>
      <w:marRight w:val="0"/>
      <w:marTop w:val="0"/>
      <w:marBottom w:val="0"/>
      <w:divBdr>
        <w:top w:val="none" w:sz="0" w:space="0" w:color="auto"/>
        <w:left w:val="none" w:sz="0" w:space="0" w:color="auto"/>
        <w:bottom w:val="none" w:sz="0" w:space="0" w:color="auto"/>
        <w:right w:val="none" w:sz="0" w:space="0" w:color="auto"/>
      </w:divBdr>
    </w:div>
    <w:div w:id="1563062376">
      <w:bodyDiv w:val="1"/>
      <w:marLeft w:val="0"/>
      <w:marRight w:val="0"/>
      <w:marTop w:val="0"/>
      <w:marBottom w:val="0"/>
      <w:divBdr>
        <w:top w:val="none" w:sz="0" w:space="0" w:color="auto"/>
        <w:left w:val="none" w:sz="0" w:space="0" w:color="auto"/>
        <w:bottom w:val="none" w:sz="0" w:space="0" w:color="auto"/>
        <w:right w:val="none" w:sz="0" w:space="0" w:color="auto"/>
      </w:divBdr>
    </w:div>
    <w:div w:id="1722510347">
      <w:bodyDiv w:val="1"/>
      <w:marLeft w:val="0"/>
      <w:marRight w:val="0"/>
      <w:marTop w:val="0"/>
      <w:marBottom w:val="0"/>
      <w:divBdr>
        <w:top w:val="none" w:sz="0" w:space="0" w:color="auto"/>
        <w:left w:val="none" w:sz="0" w:space="0" w:color="auto"/>
        <w:bottom w:val="none" w:sz="0" w:space="0" w:color="auto"/>
        <w:right w:val="none" w:sz="0" w:space="0" w:color="auto"/>
      </w:divBdr>
    </w:div>
    <w:div w:id="17391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png"/><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Gr&#225;fico%20pi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grafic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grafic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ownloads\grafica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esktop\EXPOSICI&#211;N%20DE%20MOTIVOS%202023\gr&#225;ficas%20nuevas%20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EXPOSICI&#211;N%20DE%20MOTIVOS%202023\clasificadores%20de%20gasto%20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EXPOSICI&#211;N%20DE%20MOTIVOS%202023\clasificadores%20de%20gasto%20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esktop\EXPOSICI&#211;N%20DE%20MOTIVOS%202023\clasificadores%20de%20gasto%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Hoja1!$E$1</c:f>
              <c:strCache>
                <c:ptCount val="1"/>
                <c:pt idx="0">
                  <c:v>Nacional</c:v>
                </c:pt>
              </c:strCache>
            </c:strRef>
          </c:tx>
          <c:spPr>
            <a:solidFill>
              <a:schemeClr val="bg1">
                <a:lumMod val="65000"/>
              </a:schemeClr>
            </a:solidFill>
            <a:ln>
              <a:solidFill>
                <a:schemeClr val="bg1">
                  <a:lumMod val="65000"/>
                </a:scheme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Hoja1!$B$2:$D$21</c:f>
              <c:strCache>
                <c:ptCount val="20"/>
                <c:pt idx="0">
                  <c:v>Corporativos</c:v>
                </c:pt>
                <c:pt idx="1">
                  <c:v>Servicios de esparcimiento y recreativos</c:v>
                </c:pt>
                <c:pt idx="2">
                  <c:v>Servicios profesionales, científicos y técnicos</c:v>
                </c:pt>
                <c:pt idx="3">
                  <c:v>Minería</c:v>
                </c:pt>
                <c:pt idx="4">
                  <c:v>Información en medios masivos</c:v>
                </c:pt>
                <c:pt idx="5">
                  <c:v>Servicios de apoyo a los negocios</c:v>
                </c:pt>
                <c:pt idx="6">
                  <c:v>Generación de energía</c:v>
                </c:pt>
                <c:pt idx="7">
                  <c:v>Servicios de alojamiento temporal, de alimentos y bebidas</c:v>
                </c:pt>
                <c:pt idx="8">
                  <c:v>Servicios de salud y de asistencia social</c:v>
                </c:pt>
                <c:pt idx="9">
                  <c:v>Otros servicios excepto actividades gubernamentales</c:v>
                </c:pt>
                <c:pt idx="10">
                  <c:v>Servicios financieros y de seguros</c:v>
                </c:pt>
                <c:pt idx="11">
                  <c:v>Transportes, correos y almacenamiento</c:v>
                </c:pt>
                <c:pt idx="12">
                  <c:v>Agrícolas</c:v>
                </c:pt>
                <c:pt idx="13">
                  <c:v>Actividades legislativas, gubernamentales, de impartición de justicia y de organismos internacionales y extraterritoriales</c:v>
                </c:pt>
                <c:pt idx="14">
                  <c:v>Comercio al por mayor</c:v>
                </c:pt>
                <c:pt idx="15">
                  <c:v>Servicios educativos</c:v>
                </c:pt>
                <c:pt idx="16">
                  <c:v>Industrias manufactureras</c:v>
                </c:pt>
                <c:pt idx="17">
                  <c:v>Construcción</c:v>
                </c:pt>
                <c:pt idx="18">
                  <c:v>Comercio al por menor</c:v>
                </c:pt>
                <c:pt idx="19">
                  <c:v>Servicios inmobiliarios y de alquiler</c:v>
                </c:pt>
              </c:strCache>
            </c:strRef>
          </c:cat>
          <c:val>
            <c:numRef>
              <c:f>Hoja1!$E$2:$E$21</c:f>
              <c:numCache>
                <c:formatCode>0.00%</c:formatCode>
                <c:ptCount val="20"/>
                <c:pt idx="0">
                  <c:v>6.6800000000000002E-3</c:v>
                </c:pt>
                <c:pt idx="1">
                  <c:v>2.5000000000000001E-3</c:v>
                </c:pt>
                <c:pt idx="2">
                  <c:v>1.899E-2</c:v>
                </c:pt>
                <c:pt idx="3">
                  <c:v>3.9800000000000002E-2</c:v>
                </c:pt>
                <c:pt idx="4">
                  <c:v>1.5140000000000001E-2</c:v>
                </c:pt>
                <c:pt idx="5">
                  <c:v>3.628E-2</c:v>
                </c:pt>
                <c:pt idx="6">
                  <c:v>2.0630000000000003E-2</c:v>
                </c:pt>
                <c:pt idx="7">
                  <c:v>1.4110000000000001E-2</c:v>
                </c:pt>
                <c:pt idx="8">
                  <c:v>2.5819999999999999E-2</c:v>
                </c:pt>
                <c:pt idx="9">
                  <c:v>1.7950000000000001E-2</c:v>
                </c:pt>
                <c:pt idx="10">
                  <c:v>4.2009999999999999E-2</c:v>
                </c:pt>
                <c:pt idx="11">
                  <c:v>5.4629999999999998E-2</c:v>
                </c:pt>
                <c:pt idx="12">
                  <c:v>3.7870000000000001E-2</c:v>
                </c:pt>
                <c:pt idx="13">
                  <c:v>3.9960000000000002E-2</c:v>
                </c:pt>
                <c:pt idx="14">
                  <c:v>9.2840000000000006E-2</c:v>
                </c:pt>
                <c:pt idx="15">
                  <c:v>3.8650000000000004E-2</c:v>
                </c:pt>
                <c:pt idx="16">
                  <c:v>0.17268</c:v>
                </c:pt>
                <c:pt idx="17">
                  <c:v>6.3899999999999998E-2</c:v>
                </c:pt>
                <c:pt idx="18">
                  <c:v>9.325E-2</c:v>
                </c:pt>
                <c:pt idx="19">
                  <c:v>0.10345</c:v>
                </c:pt>
              </c:numCache>
            </c:numRef>
          </c:val>
          <c:extLst>
            <c:ext xmlns:c16="http://schemas.microsoft.com/office/drawing/2014/chart" uri="{C3380CC4-5D6E-409C-BE32-E72D297353CC}">
              <c16:uniqueId val="{00000000-8B16-4291-8F0B-17AD10D4C03E}"/>
            </c:ext>
          </c:extLst>
        </c:ser>
        <c:ser>
          <c:idx val="1"/>
          <c:order val="1"/>
          <c:tx>
            <c:strRef>
              <c:f>Hoja1!$F$1</c:f>
              <c:strCache>
                <c:ptCount val="1"/>
                <c:pt idx="0">
                  <c:v>Estatal</c:v>
                </c:pt>
              </c:strCache>
            </c:strRef>
          </c:tx>
          <c:spPr>
            <a:solidFill>
              <a:schemeClr val="accent5">
                <a:lumMod val="75000"/>
              </a:schemeClr>
            </a:solidFill>
            <a:ln>
              <a:solidFill>
                <a:schemeClr val="accent5">
                  <a:lumMod val="75000"/>
                </a:schemeClr>
              </a:solid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5">
                        <a:lumMod val="75000"/>
                      </a:schemeClr>
                    </a:solidFill>
                    <a:latin typeface="Arial Narrow" panose="020B0606020202030204" pitchFamily="34"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Hoja1!$B$2:$D$21</c:f>
              <c:strCache>
                <c:ptCount val="20"/>
                <c:pt idx="0">
                  <c:v>Corporativos</c:v>
                </c:pt>
                <c:pt idx="1">
                  <c:v>Servicios de esparcimiento y recreativos</c:v>
                </c:pt>
                <c:pt idx="2">
                  <c:v>Servicios profesionales, científicos y técnicos</c:v>
                </c:pt>
                <c:pt idx="3">
                  <c:v>Minería</c:v>
                </c:pt>
                <c:pt idx="4">
                  <c:v>Información en medios masivos</c:v>
                </c:pt>
                <c:pt idx="5">
                  <c:v>Servicios de apoyo a los negocios</c:v>
                </c:pt>
                <c:pt idx="6">
                  <c:v>Generación de energía</c:v>
                </c:pt>
                <c:pt idx="7">
                  <c:v>Servicios de alojamiento temporal, de alimentos y bebidas</c:v>
                </c:pt>
                <c:pt idx="8">
                  <c:v>Servicios de salud y de asistencia social</c:v>
                </c:pt>
                <c:pt idx="9">
                  <c:v>Otros servicios excepto actividades gubernamentales</c:v>
                </c:pt>
                <c:pt idx="10">
                  <c:v>Servicios financieros y de seguros</c:v>
                </c:pt>
                <c:pt idx="11">
                  <c:v>Transportes, correos y almacenamiento</c:v>
                </c:pt>
                <c:pt idx="12">
                  <c:v>Agrícolas</c:v>
                </c:pt>
                <c:pt idx="13">
                  <c:v>Actividades legislativas, gubernamentales, de impartición de justicia y de organismos internacionales y extraterritoriales</c:v>
                </c:pt>
                <c:pt idx="14">
                  <c:v>Comercio al por mayor</c:v>
                </c:pt>
                <c:pt idx="15">
                  <c:v>Servicios educativos</c:v>
                </c:pt>
                <c:pt idx="16">
                  <c:v>Industrias manufactureras</c:v>
                </c:pt>
                <c:pt idx="17">
                  <c:v>Construcción</c:v>
                </c:pt>
                <c:pt idx="18">
                  <c:v>Comercio al por menor</c:v>
                </c:pt>
                <c:pt idx="19">
                  <c:v>Servicios inmobiliarios y de alquiler</c:v>
                </c:pt>
              </c:strCache>
            </c:strRef>
          </c:cat>
          <c:val>
            <c:numRef>
              <c:f>Hoja1!$F$2:$F$21</c:f>
              <c:numCache>
                <c:formatCode>0.00%</c:formatCode>
                <c:ptCount val="20"/>
                <c:pt idx="0">
                  <c:v>0</c:v>
                </c:pt>
                <c:pt idx="1">
                  <c:v>1.4508588202200002E-3</c:v>
                </c:pt>
                <c:pt idx="2">
                  <c:v>7.6159779294400001E-3</c:v>
                </c:pt>
                <c:pt idx="3">
                  <c:v>7.8621614046500005E-3</c:v>
                </c:pt>
                <c:pt idx="4">
                  <c:v>1.102658606136E-2</c:v>
                </c:pt>
                <c:pt idx="5">
                  <c:v>1.43583711261E-2</c:v>
                </c:pt>
                <c:pt idx="6">
                  <c:v>1.949998778127E-2</c:v>
                </c:pt>
                <c:pt idx="7">
                  <c:v>2.04812643451E-2</c:v>
                </c:pt>
                <c:pt idx="8">
                  <c:v>2.422384428856E-2</c:v>
                </c:pt>
                <c:pt idx="9">
                  <c:v>2.8614539997690001E-2</c:v>
                </c:pt>
                <c:pt idx="10">
                  <c:v>3.1626015438849998E-2</c:v>
                </c:pt>
                <c:pt idx="11">
                  <c:v>4.4134234835920001E-2</c:v>
                </c:pt>
                <c:pt idx="12">
                  <c:v>6.8510096545550001E-2</c:v>
                </c:pt>
                <c:pt idx="13">
                  <c:v>6.9598339742930004E-2</c:v>
                </c:pt>
                <c:pt idx="14">
                  <c:v>7.156889534086E-2</c:v>
                </c:pt>
                <c:pt idx="15">
                  <c:v>8.9962450959150009E-2</c:v>
                </c:pt>
                <c:pt idx="16">
                  <c:v>9.4524533609030001E-2</c:v>
                </c:pt>
                <c:pt idx="17">
                  <c:v>9.5276677271810009E-2</c:v>
                </c:pt>
                <c:pt idx="18">
                  <c:v>0.11128098534981</c:v>
                </c:pt>
                <c:pt idx="19">
                  <c:v>0.18838417915171998</c:v>
                </c:pt>
              </c:numCache>
            </c:numRef>
          </c:val>
          <c:extLst>
            <c:ext xmlns:c16="http://schemas.microsoft.com/office/drawing/2014/chart" uri="{C3380CC4-5D6E-409C-BE32-E72D297353CC}">
              <c16:uniqueId val="{00000001-8B16-4291-8F0B-17AD10D4C03E}"/>
            </c:ext>
          </c:extLst>
        </c:ser>
        <c:dLbls>
          <c:showLegendKey val="0"/>
          <c:showVal val="0"/>
          <c:showCatName val="0"/>
          <c:showSerName val="0"/>
          <c:showPercent val="0"/>
          <c:showBubbleSize val="0"/>
        </c:dLbls>
        <c:gapWidth val="80"/>
        <c:axId val="491940016"/>
        <c:axId val="491941328"/>
      </c:barChart>
      <c:catAx>
        <c:axId val="491940016"/>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Narrow" panose="020B0606020202030204" pitchFamily="34" charset="0"/>
                <a:ea typeface="+mn-ea"/>
                <a:cs typeface="+mn-cs"/>
              </a:defRPr>
            </a:pPr>
            <a:endParaRPr lang="es-MX"/>
          </a:p>
        </c:txPr>
        <c:crossAx val="491941328"/>
        <c:crosses val="autoZero"/>
        <c:auto val="1"/>
        <c:lblAlgn val="ctr"/>
        <c:lblOffset val="1"/>
        <c:tickLblSkip val="1"/>
        <c:noMultiLvlLbl val="0"/>
      </c:catAx>
      <c:valAx>
        <c:axId val="491941328"/>
        <c:scaling>
          <c:orientation val="minMax"/>
        </c:scaling>
        <c:delete val="1"/>
        <c:axPos val="b"/>
        <c:numFmt formatCode="0%" sourceLinked="0"/>
        <c:majorTickMark val="in"/>
        <c:minorTickMark val="none"/>
        <c:tickLblPos val="nextTo"/>
        <c:crossAx val="491940016"/>
        <c:crosses val="autoZero"/>
        <c:crossBetween val="between"/>
      </c:valAx>
      <c:spPr>
        <a:noFill/>
        <a:ln w="3175">
          <a:noFill/>
        </a:ln>
        <a:effectLst/>
      </c:spPr>
    </c:plotArea>
    <c:legend>
      <c:legendPos val="b"/>
      <c:layout>
        <c:manualLayout>
          <c:xMode val="edge"/>
          <c:yMode val="edge"/>
          <c:x val="0.68403871391076121"/>
          <c:y val="0.58391149023038791"/>
          <c:w val="0.25414457567804022"/>
          <c:h val="0.10805885562133069"/>
        </c:manualLayout>
      </c:layout>
      <c:overlay val="1"/>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'[Gráfico pib.xlsx]Estatal'!$B$4</c:f>
              <c:strCache>
                <c:ptCount val="1"/>
                <c:pt idx="0">
                  <c:v>PIB</c:v>
                </c:pt>
              </c:strCache>
            </c:strRef>
          </c:tx>
          <c:spPr>
            <a:solidFill>
              <a:schemeClr val="accent1"/>
            </a:solidFill>
            <a:ln>
              <a:noFill/>
            </a:ln>
            <a:effectLst/>
          </c:spPr>
          <c:invertIfNegative val="0"/>
          <c:dLbls>
            <c:numFmt formatCode="#,##0" sourceLinked="0"/>
            <c:spPr>
              <a:noFill/>
              <a:ln w="25400">
                <a:noFill/>
              </a:ln>
              <a:effectLst/>
            </c:spPr>
            <c:txPr>
              <a:bodyPr rot="-5400000" spcFirstLastPara="1" vertOverflow="ellipsis" wrap="square" lIns="38100" tIns="19050" rIns="38100" bIns="19050" anchor="ctr" anchorCtr="1">
                <a:spAutoFit/>
              </a:bodyPr>
              <a:lstStyle/>
              <a:p>
                <a:pPr algn="ctr">
                  <a:defRPr sz="900" b="1" i="0" u="none" strike="noStrike" kern="1200" baseline="0">
                    <a:solidFill>
                      <a:srgbClr val="FFFFFF"/>
                    </a:solidFill>
                    <a:latin typeface="Arial Narrow"/>
                    <a:ea typeface="Arial Narrow"/>
                    <a:cs typeface="Arial Narrow"/>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'[Gráfico pib.xlsx]Estatal'!$A$5:$A$17</c:f>
              <c:strCache>
                <c:ptCount val="13"/>
                <c:pt idx="0">
                  <c:v>2010</c:v>
                </c:pt>
                <c:pt idx="1">
                  <c:v>2011</c:v>
                </c:pt>
                <c:pt idx="2">
                  <c:v>2012</c:v>
                </c:pt>
                <c:pt idx="3">
                  <c:v>2013</c:v>
                </c:pt>
                <c:pt idx="4">
                  <c:v>2014</c:v>
                </c:pt>
                <c:pt idx="5">
                  <c:v>2015</c:v>
                </c:pt>
                <c:pt idx="6">
                  <c:v>2016</c:v>
                </c:pt>
                <c:pt idx="7">
                  <c:v>2017</c:v>
                </c:pt>
                <c:pt idx="8">
                  <c:v>2018</c:v>
                </c:pt>
                <c:pt idx="9">
                  <c:v>2019r/</c:v>
                </c:pt>
                <c:pt idx="10">
                  <c:v>2020</c:v>
                </c:pt>
                <c:pt idx="11">
                  <c:v>2021p/</c:v>
                </c:pt>
                <c:pt idx="12">
                  <c:v>2022</c:v>
                </c:pt>
              </c:strCache>
            </c:strRef>
          </c:cat>
          <c:val>
            <c:numRef>
              <c:f>'[Gráfico pib.xlsx]Estatal'!$B$5:$B$17</c:f>
              <c:numCache>
                <c:formatCode>#,##0</c:formatCode>
                <c:ptCount val="13"/>
                <c:pt idx="0">
                  <c:v>228089.144</c:v>
                </c:pt>
                <c:pt idx="1">
                  <c:v>234955.83799999999</c:v>
                </c:pt>
                <c:pt idx="2">
                  <c:v>239680.171</c:v>
                </c:pt>
                <c:pt idx="3">
                  <c:v>245515.976</c:v>
                </c:pt>
                <c:pt idx="4">
                  <c:v>250239.106</c:v>
                </c:pt>
                <c:pt idx="5">
                  <c:v>260612.90700000001</c:v>
                </c:pt>
                <c:pt idx="6">
                  <c:v>256580.33900000001</c:v>
                </c:pt>
                <c:pt idx="7">
                  <c:v>250518.62</c:v>
                </c:pt>
                <c:pt idx="8">
                  <c:v>260740.41699999999</c:v>
                </c:pt>
                <c:pt idx="9">
                  <c:v>252892.486</c:v>
                </c:pt>
                <c:pt idx="10">
                  <c:v>237176.764</c:v>
                </c:pt>
                <c:pt idx="11">
                  <c:v>253289.8109822752</c:v>
                </c:pt>
                <c:pt idx="12">
                  <c:v>259622.05625683209</c:v>
                </c:pt>
              </c:numCache>
            </c:numRef>
          </c:val>
          <c:extLst>
            <c:ext xmlns:c16="http://schemas.microsoft.com/office/drawing/2014/chart" uri="{C3380CC4-5D6E-409C-BE32-E72D297353CC}">
              <c16:uniqueId val="{00000000-55B6-4EE5-87D0-07EFD4E335E1}"/>
            </c:ext>
          </c:extLst>
        </c:ser>
        <c:dLbls>
          <c:showLegendKey val="0"/>
          <c:showVal val="0"/>
          <c:showCatName val="0"/>
          <c:showSerName val="0"/>
          <c:showPercent val="0"/>
          <c:showBubbleSize val="0"/>
        </c:dLbls>
        <c:gapWidth val="50"/>
        <c:axId val="481365808"/>
        <c:axId val="1"/>
      </c:barChart>
      <c:lineChart>
        <c:grouping val="standard"/>
        <c:varyColors val="0"/>
        <c:ser>
          <c:idx val="1"/>
          <c:order val="1"/>
          <c:tx>
            <c:strRef>
              <c:f>'[Gráfico pib.xlsx]Estatal'!$C$4</c:f>
              <c:strCache>
                <c:ptCount val="1"/>
                <c:pt idx="0">
                  <c:v>TCA</c:v>
                </c:pt>
              </c:strCache>
            </c:strRef>
          </c:tx>
          <c:spPr>
            <a:ln w="19050" cap="rnd" cmpd="sng" algn="ctr">
              <a:solidFill>
                <a:schemeClr val="accent3"/>
              </a:solidFill>
              <a:prstDash val="solid"/>
              <a:round/>
            </a:ln>
            <a:effectLst/>
          </c:spPr>
          <c:marker>
            <c:symbol val="diamond"/>
            <c:size val="5"/>
            <c:spPr>
              <a:solidFill>
                <a:schemeClr val="accent3"/>
              </a:solidFill>
              <a:ln w="6350" cap="flat" cmpd="sng" algn="ctr">
                <a:solidFill>
                  <a:schemeClr val="accent3"/>
                </a:solidFill>
                <a:prstDash val="solid"/>
                <a:round/>
              </a:ln>
              <a:effectLst/>
            </c:spPr>
          </c:marker>
          <c:dLbls>
            <c:spPr>
              <a:noFill/>
              <a:ln w="25400">
                <a:noFill/>
              </a:ln>
              <a:effectLst/>
            </c:spPr>
            <c:txPr>
              <a:bodyPr rot="0" spcFirstLastPara="1" vertOverflow="ellipsis" vert="horz" wrap="square" lIns="38100" tIns="19050" rIns="38100" bIns="19050" anchor="ctr" anchorCtr="1">
                <a:spAutoFit/>
              </a:bodyPr>
              <a:lstStyle/>
              <a:p>
                <a:pPr>
                  <a:defRPr sz="800" b="1" i="1" u="none" strike="noStrike" kern="1200" baseline="0">
                    <a:solidFill>
                      <a:srgbClr val="808080"/>
                    </a:solidFill>
                    <a:latin typeface="Arial Narrow"/>
                    <a:ea typeface="Arial Narrow"/>
                    <a:cs typeface="Arial Narrow"/>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'[Gráfico pib.xlsx]Estatal'!$A$5:$A$17</c:f>
              <c:strCache>
                <c:ptCount val="13"/>
                <c:pt idx="0">
                  <c:v>2010</c:v>
                </c:pt>
                <c:pt idx="1">
                  <c:v>2011</c:v>
                </c:pt>
                <c:pt idx="2">
                  <c:v>2012</c:v>
                </c:pt>
                <c:pt idx="3">
                  <c:v>2013</c:v>
                </c:pt>
                <c:pt idx="4">
                  <c:v>2014</c:v>
                </c:pt>
                <c:pt idx="5">
                  <c:v>2015</c:v>
                </c:pt>
                <c:pt idx="6">
                  <c:v>2016</c:v>
                </c:pt>
                <c:pt idx="7">
                  <c:v>2017</c:v>
                </c:pt>
                <c:pt idx="8">
                  <c:v>2018</c:v>
                </c:pt>
                <c:pt idx="9">
                  <c:v>2019r/</c:v>
                </c:pt>
                <c:pt idx="10">
                  <c:v>2020</c:v>
                </c:pt>
                <c:pt idx="11">
                  <c:v>2021p/</c:v>
                </c:pt>
                <c:pt idx="12">
                  <c:v>2022</c:v>
                </c:pt>
              </c:strCache>
            </c:strRef>
          </c:cat>
          <c:val>
            <c:numRef>
              <c:f>'[Gráfico pib.xlsx]Estatal'!$C$5:$C$17</c:f>
              <c:numCache>
                <c:formatCode>0.0</c:formatCode>
                <c:ptCount val="13"/>
                <c:pt idx="1">
                  <c:v>3.0105308299986477</c:v>
                </c:pt>
                <c:pt idx="2">
                  <c:v>2.0107323317499315</c:v>
                </c:pt>
                <c:pt idx="3">
                  <c:v>2.4348301220128876</c:v>
                </c:pt>
                <c:pt idx="4">
                  <c:v>1.9237566845751841</c:v>
                </c:pt>
                <c:pt idx="5">
                  <c:v>4.1455554912348536</c:v>
                </c:pt>
                <c:pt idx="6">
                  <c:v>-1.5473400939424731</c:v>
                </c:pt>
                <c:pt idx="7">
                  <c:v>-2.3625033093435888</c:v>
                </c:pt>
                <c:pt idx="8">
                  <c:v>4.0802543938650127</c:v>
                </c:pt>
                <c:pt idx="9">
                  <c:v>-3.0098636376730159</c:v>
                </c:pt>
                <c:pt idx="10">
                  <c:v>-6.2143886710813607</c:v>
                </c:pt>
                <c:pt idx="11">
                  <c:v>6.7936869997413396</c:v>
                </c:pt>
                <c:pt idx="12">
                  <c:v>2.5</c:v>
                </c:pt>
              </c:numCache>
            </c:numRef>
          </c:val>
          <c:smooth val="0"/>
          <c:extLst>
            <c:ext xmlns:c16="http://schemas.microsoft.com/office/drawing/2014/chart" uri="{C3380CC4-5D6E-409C-BE32-E72D297353CC}">
              <c16:uniqueId val="{00000001-55B6-4EE5-87D0-07EFD4E335E1}"/>
            </c:ext>
          </c:extLst>
        </c:ser>
        <c:dLbls>
          <c:showLegendKey val="0"/>
          <c:showVal val="0"/>
          <c:showCatName val="0"/>
          <c:showSerName val="0"/>
          <c:showPercent val="0"/>
          <c:showBubbleSize val="0"/>
        </c:dLbls>
        <c:marker val="1"/>
        <c:smooth val="0"/>
        <c:axId val="3"/>
        <c:axId val="4"/>
      </c:lineChart>
      <c:catAx>
        <c:axId val="48136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wrap="square" anchor="ctr" anchorCtr="1"/>
          <a:lstStyle/>
          <a:p>
            <a:pPr>
              <a:defRPr sz="800" b="1" i="0" u="none" strike="noStrike" kern="1200" baseline="0">
                <a:solidFill>
                  <a:srgbClr val="808080"/>
                </a:solidFill>
                <a:latin typeface="Arial Narrow"/>
                <a:ea typeface="Arial Narrow"/>
                <a:cs typeface="Arial Narrow"/>
              </a:defRPr>
            </a:pPr>
            <a:endParaRPr lang="es-MX"/>
          </a:p>
        </c:txPr>
        <c:crossAx val="1"/>
        <c:crosses val="autoZero"/>
        <c:auto val="1"/>
        <c:lblAlgn val="ctr"/>
        <c:lblOffset val="100"/>
        <c:noMultiLvlLbl val="0"/>
      </c:catAx>
      <c:valAx>
        <c:axId val="1"/>
        <c:scaling>
          <c:orientation val="minMax"/>
        </c:scaling>
        <c:delete val="0"/>
        <c:axPos val="l"/>
        <c:numFmt formatCode="#,##0" sourceLinked="1"/>
        <c:majorTickMark val="none"/>
        <c:minorTickMark val="none"/>
        <c:tickLblPos val="nextTo"/>
        <c:spPr>
          <a:noFill/>
          <a:ln w="6350" cap="flat" cmpd="sng" algn="ctr">
            <a:noFill/>
            <a:prstDash val="solid"/>
            <a:round/>
          </a:ln>
          <a:effectLst/>
        </c:spPr>
        <c:txPr>
          <a:bodyPr rot="0" spcFirstLastPara="1" vertOverflow="ellipsis" wrap="square" anchor="ctr" anchorCtr="1"/>
          <a:lstStyle/>
          <a:p>
            <a:pPr>
              <a:defRPr sz="800" b="1" i="0" u="none" strike="noStrike" kern="1200" baseline="0">
                <a:solidFill>
                  <a:srgbClr val="808080"/>
                </a:solidFill>
                <a:latin typeface="Arial Narrow"/>
                <a:ea typeface="Arial Narrow"/>
                <a:cs typeface="Arial Narrow"/>
              </a:defRPr>
            </a:pPr>
            <a:endParaRPr lang="es-MX"/>
          </a:p>
        </c:txPr>
        <c:crossAx val="481365808"/>
        <c:crosses val="autoZero"/>
        <c:crossBetween val="between"/>
      </c:valAx>
      <c:catAx>
        <c:axId val="3"/>
        <c:scaling>
          <c:orientation val="minMax"/>
        </c:scaling>
        <c:delete val="1"/>
        <c:axPos val="b"/>
        <c:numFmt formatCode="General" sourceLinked="1"/>
        <c:majorTickMark val="out"/>
        <c:minorTickMark val="none"/>
        <c:tickLblPos val="nextTo"/>
        <c:crossAx val="4"/>
        <c:crossesAt val="-8"/>
        <c:auto val="1"/>
        <c:lblAlgn val="ctr"/>
        <c:lblOffset val="100"/>
        <c:noMultiLvlLbl val="0"/>
      </c:catAx>
      <c:valAx>
        <c:axId val="4"/>
        <c:scaling>
          <c:orientation val="minMax"/>
          <c:max val="7"/>
          <c:min val="-95"/>
        </c:scaling>
        <c:delete val="0"/>
        <c:axPos val="r"/>
        <c:numFmt formatCode="0.0" sourceLinked="1"/>
        <c:majorTickMark val="out"/>
        <c:minorTickMark val="none"/>
        <c:tickLblPos val="nextTo"/>
        <c:spPr>
          <a:noFill/>
          <a:ln w="6350" cap="flat" cmpd="sng" algn="ctr">
            <a:noFill/>
            <a:prstDash val="solid"/>
            <a:round/>
          </a:ln>
          <a:effectLst/>
        </c:spPr>
        <c:txPr>
          <a:bodyPr rot="0" spcFirstLastPara="1" vertOverflow="ellipsis" wrap="square" anchor="ctr" anchorCtr="1"/>
          <a:lstStyle/>
          <a:p>
            <a:pPr>
              <a:defRPr sz="900" b="0" i="0" u="none" strike="noStrike" kern="1200" baseline="0">
                <a:solidFill>
                  <a:srgbClr val="FFFFFF"/>
                </a:solidFill>
                <a:latin typeface="Calibri"/>
                <a:ea typeface="Calibri"/>
                <a:cs typeface="Calibri"/>
              </a:defRPr>
            </a:pPr>
            <a:endParaRPr lang="es-MX"/>
          </a:p>
        </c:txPr>
        <c:crossAx val="3"/>
        <c:crosses val="max"/>
        <c:crossBetween val="between"/>
      </c:valAx>
      <c:spPr>
        <a:noFill/>
        <a:ln w="25400">
          <a:noFill/>
        </a:ln>
        <a:effectLst/>
      </c:spPr>
    </c:plotArea>
    <c:legend>
      <c:legendPos val="t"/>
      <c:overlay val="0"/>
      <c:spPr>
        <a:noFill/>
        <a:ln w="25400">
          <a:noFill/>
        </a:ln>
        <a:effectLst/>
      </c:spPr>
      <c:txPr>
        <a:bodyPr rot="0" spcFirstLastPara="1" vertOverflow="ellipsis" vert="horz" wrap="square" anchor="ctr" anchorCtr="1"/>
        <a:lstStyle/>
        <a:p>
          <a:pPr>
            <a:defRPr sz="735" b="1" i="0" u="none" strike="noStrike" kern="1200" baseline="0">
              <a:solidFill>
                <a:srgbClr val="333333"/>
              </a:solidFill>
              <a:latin typeface="Arial Narrow"/>
              <a:ea typeface="Arial Narrow"/>
              <a:cs typeface="Arial Narrow"/>
            </a:defRPr>
          </a:pPr>
          <a:endParaRPr lang="es-MX"/>
        </a:p>
      </c:txPr>
    </c:legend>
    <c:plotVisOnly val="1"/>
    <c:dispBlanksAs val="gap"/>
    <c:showDLblsOverMax val="0"/>
  </c:chart>
  <c:spPr>
    <a:solidFill>
      <a:schemeClr val="bg1"/>
    </a:solidFill>
    <a:ln w="9525"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MX" sz="1200" b="1" i="0" u="none" strike="noStrike" kern="1200" spc="0" baseline="0">
                <a:solidFill>
                  <a:sysClr val="windowText" lastClr="000000"/>
                </a:solidFill>
                <a:latin typeface="Arial Narrow" panose="020B0606020202030204" pitchFamily="34" charset="0"/>
                <a:ea typeface="+mn-ea"/>
                <a:cs typeface="+mn-cs"/>
              </a:defRPr>
            </a:pPr>
            <a:r>
              <a:rPr lang="es-MX" sz="1200" b="1" i="0" u="none" strike="noStrike" kern="1200" spc="0" baseline="0">
                <a:solidFill>
                  <a:sysClr val="windowText" lastClr="000000"/>
                </a:solidFill>
                <a:latin typeface="Arial Narrow" panose="020B0606020202030204" pitchFamily="34" charset="0"/>
                <a:ea typeface="+mn-ea"/>
                <a:cs typeface="+mn-cs"/>
              </a:rPr>
              <a:t>Actividades Primarias 2010-2022</a:t>
            </a:r>
          </a:p>
        </c:rich>
      </c:tx>
      <c:overlay val="0"/>
      <c:spPr>
        <a:noFill/>
        <a:ln>
          <a:noFill/>
        </a:ln>
        <a:effectLst/>
      </c:spPr>
      <c:txPr>
        <a:bodyPr rot="0" spcFirstLastPara="1" vertOverflow="ellipsis" vert="horz" wrap="square" anchor="ctr" anchorCtr="1"/>
        <a:lstStyle/>
        <a:p>
          <a:pPr algn="ctr" rtl="0">
            <a:defRPr lang="es-MX" sz="1200" b="1" i="0" u="none" strike="noStrike" kern="1200" spc="0" baseline="0">
              <a:solidFill>
                <a:sysClr val="windowText" lastClr="000000"/>
              </a:solidFill>
              <a:latin typeface="Arial Narrow" panose="020B0606020202030204" pitchFamily="34" charset="0"/>
              <a:ea typeface="+mn-ea"/>
              <a:cs typeface="+mn-cs"/>
            </a:defRPr>
          </a:pPr>
          <a:endParaRPr lang="es-MX"/>
        </a:p>
      </c:txPr>
    </c:title>
    <c:autoTitleDeleted val="0"/>
    <c:plotArea>
      <c:layout/>
      <c:lineChart>
        <c:grouping val="standard"/>
        <c:varyColors val="0"/>
        <c:ser>
          <c:idx val="0"/>
          <c:order val="0"/>
          <c:tx>
            <c:strRef>
              <c:f>[graficas.xlsx]Hoja1!$A$23</c:f>
              <c:strCache>
                <c:ptCount val="1"/>
                <c:pt idx="0">
                  <c:v>Nacional</c:v>
                </c:pt>
              </c:strCache>
            </c:strRef>
          </c:tx>
          <c:spPr>
            <a:ln w="12700" cap="rnd">
              <a:solidFill>
                <a:schemeClr val="bg1">
                  <a:lumMod val="50000"/>
                </a:schemeClr>
              </a:solidFill>
              <a:prstDash val="dash"/>
              <a:round/>
            </a:ln>
            <a:effectLst/>
          </c:spPr>
          <c:marker>
            <c:symbol val="diamond"/>
            <c:size val="5"/>
            <c:spPr>
              <a:solidFill>
                <a:schemeClr val="bg1">
                  <a:lumMod val="50000"/>
                </a:schemeClr>
              </a:solidFill>
              <a:ln w="12700">
                <a:solidFill>
                  <a:schemeClr val="bg1">
                    <a:lumMod val="50000"/>
                  </a:schemeClr>
                </a:solidFill>
                <a:prstDash val="dash"/>
              </a:ln>
              <a:effectLst/>
            </c:spPr>
          </c:marker>
          <c:cat>
            <c:strRef>
              <c:f>[graficas.xlsx]Hoja1!$B$22:$U$22</c:f>
              <c:strCache>
                <c:ptCount val="13"/>
                <c:pt idx="0">
                  <c:v>2010</c:v>
                </c:pt>
                <c:pt idx="1">
                  <c:v>2011</c:v>
                </c:pt>
                <c:pt idx="2">
                  <c:v>2012</c:v>
                </c:pt>
                <c:pt idx="3">
                  <c:v>2013</c:v>
                </c:pt>
                <c:pt idx="4">
                  <c:v>2014</c:v>
                </c:pt>
                <c:pt idx="5">
                  <c:v>2015</c:v>
                </c:pt>
                <c:pt idx="6">
                  <c:v>2016</c:v>
                </c:pt>
                <c:pt idx="7">
                  <c:v>2017</c:v>
                </c:pt>
                <c:pt idx="8">
                  <c:v>2018</c:v>
                </c:pt>
                <c:pt idx="9">
                  <c:v>2019R</c:v>
                </c:pt>
                <c:pt idx="10">
                  <c:v>2020R</c:v>
                </c:pt>
                <c:pt idx="11">
                  <c:v>2021R</c:v>
                </c:pt>
                <c:pt idx="12">
                  <c:v>2022P</c:v>
                </c:pt>
              </c:strCache>
            </c:strRef>
          </c:cat>
          <c:val>
            <c:numRef>
              <c:f>[graficas.xlsx]Hoja1!$B$23:$U$23</c:f>
              <c:numCache>
                <c:formatCode>0.00</c:formatCode>
                <c:ptCount val="13"/>
                <c:pt idx="0">
                  <c:v>2.4934927224040001E-2</c:v>
                </c:pt>
                <c:pt idx="1">
                  <c:v>-3.7635998825730002E-2</c:v>
                </c:pt>
                <c:pt idx="2">
                  <c:v>6.3564879281059999E-2</c:v>
                </c:pt>
                <c:pt idx="3">
                  <c:v>2.2802385185399999E-2</c:v>
                </c:pt>
                <c:pt idx="4">
                  <c:v>3.7495798368439998E-2</c:v>
                </c:pt>
                <c:pt idx="5">
                  <c:v>2.068978603531E-2</c:v>
                </c:pt>
                <c:pt idx="6">
                  <c:v>3.5175292157980001E-2</c:v>
                </c:pt>
                <c:pt idx="7">
                  <c:v>3.3750205676520005E-2</c:v>
                </c:pt>
                <c:pt idx="8">
                  <c:v>2.6043514638539999E-2</c:v>
                </c:pt>
                <c:pt idx="9">
                  <c:v>-2.6096935666400003E-3</c:v>
                </c:pt>
                <c:pt idx="10">
                  <c:v>3.22298069719E-3</c:v>
                </c:pt>
                <c:pt idx="11">
                  <c:v>2.247E-2</c:v>
                </c:pt>
                <c:pt idx="12">
                  <c:v>1.5732789201746901E-2</c:v>
                </c:pt>
              </c:numCache>
            </c:numRef>
          </c:val>
          <c:smooth val="0"/>
          <c:extLst>
            <c:ext xmlns:c16="http://schemas.microsoft.com/office/drawing/2014/chart" uri="{C3380CC4-5D6E-409C-BE32-E72D297353CC}">
              <c16:uniqueId val="{00000000-D909-486A-9838-B2EAF57616DD}"/>
            </c:ext>
          </c:extLst>
        </c:ser>
        <c:ser>
          <c:idx val="1"/>
          <c:order val="1"/>
          <c:tx>
            <c:strRef>
              <c:f>[graficas.xlsx]Hoja1!$A$24</c:f>
              <c:strCache>
                <c:ptCount val="1"/>
                <c:pt idx="0">
                  <c:v>Estatal</c:v>
                </c:pt>
              </c:strCache>
            </c:strRef>
          </c:tx>
          <c:spPr>
            <a:ln w="28575"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dLbls>
            <c:dLbl>
              <c:idx val="6"/>
              <c:layout>
                <c:manualLayout>
                  <c:x val="0"/>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09-486A-9838-B2EAF57616DD}"/>
                </c:ext>
              </c:extLst>
            </c:dLbl>
            <c:dLbl>
              <c:idx val="11"/>
              <c:layout>
                <c:manualLayout>
                  <c:x val="-1.0185067526415994E-16"/>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09-486A-9838-B2EAF57616D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7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[graficas.xlsx]Hoja1!$B$22:$U$22</c:f>
              <c:strCache>
                <c:ptCount val="13"/>
                <c:pt idx="0">
                  <c:v>2010</c:v>
                </c:pt>
                <c:pt idx="1">
                  <c:v>2011</c:v>
                </c:pt>
                <c:pt idx="2">
                  <c:v>2012</c:v>
                </c:pt>
                <c:pt idx="3">
                  <c:v>2013</c:v>
                </c:pt>
                <c:pt idx="4">
                  <c:v>2014</c:v>
                </c:pt>
                <c:pt idx="5">
                  <c:v>2015</c:v>
                </c:pt>
                <c:pt idx="6">
                  <c:v>2016</c:v>
                </c:pt>
                <c:pt idx="7">
                  <c:v>2017</c:v>
                </c:pt>
                <c:pt idx="8">
                  <c:v>2018</c:v>
                </c:pt>
                <c:pt idx="9">
                  <c:v>2019R</c:v>
                </c:pt>
                <c:pt idx="10">
                  <c:v>2020R</c:v>
                </c:pt>
                <c:pt idx="11">
                  <c:v>2021R</c:v>
                </c:pt>
                <c:pt idx="12">
                  <c:v>2022P</c:v>
                </c:pt>
              </c:strCache>
            </c:strRef>
          </c:cat>
          <c:val>
            <c:numRef>
              <c:f>[graficas.xlsx]Hoja1!$B$24:$U$24</c:f>
              <c:numCache>
                <c:formatCode>0.00</c:formatCode>
                <c:ptCount val="13"/>
                <c:pt idx="0">
                  <c:v>6.5436734113700004E-3</c:v>
                </c:pt>
                <c:pt idx="1">
                  <c:v>-1.8461734307890002E-2</c:v>
                </c:pt>
                <c:pt idx="2">
                  <c:v>6.0486410804229999E-2</c:v>
                </c:pt>
                <c:pt idx="3">
                  <c:v>4.2366995336180005E-2</c:v>
                </c:pt>
                <c:pt idx="4">
                  <c:v>4.79514889013E-3</c:v>
                </c:pt>
                <c:pt idx="5">
                  <c:v>-8.9036180261400002E-3</c:v>
                </c:pt>
                <c:pt idx="6">
                  <c:v>3.1786302349589998E-2</c:v>
                </c:pt>
                <c:pt idx="7">
                  <c:v>1.2546902112449999E-2</c:v>
                </c:pt>
                <c:pt idx="8">
                  <c:v>3.0862287502500002E-2</c:v>
                </c:pt>
                <c:pt idx="9">
                  <c:v>-1.9010085921879999E-2</c:v>
                </c:pt>
                <c:pt idx="10">
                  <c:v>6.4631904684380001E-2</c:v>
                </c:pt>
                <c:pt idx="11">
                  <c:v>1.9710300923748699E-2</c:v>
                </c:pt>
                <c:pt idx="12">
                  <c:v>-2.1806132787456002E-2</c:v>
                </c:pt>
              </c:numCache>
            </c:numRef>
          </c:val>
          <c:smooth val="0"/>
          <c:extLst>
            <c:ext xmlns:c16="http://schemas.microsoft.com/office/drawing/2014/chart" uri="{C3380CC4-5D6E-409C-BE32-E72D297353CC}">
              <c16:uniqueId val="{00000003-D909-486A-9838-B2EAF57616DD}"/>
            </c:ext>
          </c:extLst>
        </c:ser>
        <c:dLbls>
          <c:showLegendKey val="0"/>
          <c:showVal val="0"/>
          <c:showCatName val="0"/>
          <c:showSerName val="0"/>
          <c:showPercent val="0"/>
          <c:showBubbleSize val="0"/>
        </c:dLbls>
        <c:marker val="1"/>
        <c:smooth val="0"/>
        <c:axId val="470840392"/>
        <c:axId val="470839080"/>
      </c:lineChart>
      <c:catAx>
        <c:axId val="470840392"/>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s-MX"/>
          </a:p>
        </c:txPr>
        <c:crossAx val="470839080"/>
        <c:crosses val="autoZero"/>
        <c:auto val="1"/>
        <c:lblAlgn val="ctr"/>
        <c:lblOffset val="100"/>
        <c:noMultiLvlLbl val="0"/>
      </c:catAx>
      <c:valAx>
        <c:axId val="470839080"/>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MX"/>
          </a:p>
        </c:txPr>
        <c:crossAx val="470840392"/>
        <c:crosses val="autoZero"/>
        <c:crossBetween val="between"/>
        <c:majorUnit val="5.000000000000001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s-MX" sz="1200" b="1" i="0" u="none" strike="noStrike" kern="1200" spc="0" baseline="0">
                <a:solidFill>
                  <a:sysClr val="windowText" lastClr="000000"/>
                </a:solidFill>
                <a:latin typeface="Arial Narrow" panose="020B0606020202030204" pitchFamily="34" charset="0"/>
                <a:ea typeface="+mn-ea"/>
                <a:cs typeface="+mn-cs"/>
              </a:defRPr>
            </a:pPr>
            <a:r>
              <a:rPr lang="es-MX" sz="1200" b="1" i="0" u="none" strike="noStrike" kern="1200" spc="0" baseline="0">
                <a:solidFill>
                  <a:sysClr val="windowText" lastClr="000000"/>
                </a:solidFill>
                <a:latin typeface="Arial Narrow" panose="020B0606020202030204" pitchFamily="34" charset="0"/>
                <a:ea typeface="+mn-ea"/>
                <a:cs typeface="+mn-cs"/>
              </a:rPr>
              <a:t>Actividades Secundarias 2010-2022</a:t>
            </a:r>
          </a:p>
        </c:rich>
      </c:tx>
      <c:overlay val="0"/>
      <c:spPr>
        <a:noFill/>
        <a:ln>
          <a:noFill/>
        </a:ln>
        <a:effectLst/>
      </c:spPr>
      <c:txPr>
        <a:bodyPr rot="0" spcFirstLastPara="1" vertOverflow="ellipsis" vert="horz" wrap="square" anchor="ctr" anchorCtr="1"/>
        <a:lstStyle/>
        <a:p>
          <a:pPr algn="ctr" rtl="0">
            <a:defRPr lang="es-MX" sz="1200" b="1" i="0" u="none" strike="noStrike" kern="1200" spc="0" baseline="0">
              <a:solidFill>
                <a:sysClr val="windowText" lastClr="000000"/>
              </a:solidFill>
              <a:latin typeface="Arial Narrow" panose="020B0606020202030204" pitchFamily="34" charset="0"/>
              <a:ea typeface="+mn-ea"/>
              <a:cs typeface="+mn-cs"/>
            </a:defRPr>
          </a:pPr>
          <a:endParaRPr lang="es-MX"/>
        </a:p>
      </c:txPr>
    </c:title>
    <c:autoTitleDeleted val="0"/>
    <c:plotArea>
      <c:layout/>
      <c:lineChart>
        <c:grouping val="standard"/>
        <c:varyColors val="0"/>
        <c:ser>
          <c:idx val="0"/>
          <c:order val="0"/>
          <c:tx>
            <c:strRef>
              <c:f>[graficas.xlsx]Hoja1!$A$28</c:f>
              <c:strCache>
                <c:ptCount val="1"/>
                <c:pt idx="0">
                  <c:v>Nacional</c:v>
                </c:pt>
              </c:strCache>
            </c:strRef>
          </c:tx>
          <c:spPr>
            <a:ln w="12700" cap="rnd">
              <a:solidFill>
                <a:schemeClr val="bg1">
                  <a:lumMod val="50000"/>
                </a:schemeClr>
              </a:solidFill>
              <a:prstDash val="dash"/>
              <a:round/>
            </a:ln>
            <a:effectLst/>
          </c:spPr>
          <c:marker>
            <c:symbol val="diamond"/>
            <c:size val="5"/>
            <c:spPr>
              <a:solidFill>
                <a:schemeClr val="bg1">
                  <a:lumMod val="50000"/>
                </a:schemeClr>
              </a:solidFill>
              <a:ln w="12700">
                <a:solidFill>
                  <a:schemeClr val="bg1">
                    <a:lumMod val="50000"/>
                  </a:schemeClr>
                </a:solidFill>
                <a:prstDash val="dash"/>
              </a:ln>
              <a:effectLst/>
            </c:spPr>
          </c:marker>
          <c:cat>
            <c:strRef>
              <c:f>[graficas.xlsx]Hoja1!$B$27:$U$27</c:f>
              <c:strCache>
                <c:ptCount val="13"/>
                <c:pt idx="0">
                  <c:v>2010</c:v>
                </c:pt>
                <c:pt idx="1">
                  <c:v>2011</c:v>
                </c:pt>
                <c:pt idx="2">
                  <c:v>2012</c:v>
                </c:pt>
                <c:pt idx="3">
                  <c:v>2013</c:v>
                </c:pt>
                <c:pt idx="4">
                  <c:v>2014</c:v>
                </c:pt>
                <c:pt idx="5">
                  <c:v>2015</c:v>
                </c:pt>
                <c:pt idx="6">
                  <c:v>2016</c:v>
                </c:pt>
                <c:pt idx="7">
                  <c:v>2017</c:v>
                </c:pt>
                <c:pt idx="8">
                  <c:v>2018</c:v>
                </c:pt>
                <c:pt idx="9">
                  <c:v>2019R</c:v>
                </c:pt>
                <c:pt idx="10">
                  <c:v>2020R</c:v>
                </c:pt>
                <c:pt idx="11">
                  <c:v>2021R</c:v>
                </c:pt>
                <c:pt idx="12">
                  <c:v>2022P</c:v>
                </c:pt>
              </c:strCache>
            </c:strRef>
          </c:cat>
          <c:val>
            <c:numRef>
              <c:f>[graficas.xlsx]Hoja1!$B$28:$U$28</c:f>
              <c:numCache>
                <c:formatCode>###,###,###,###,##0.0</c:formatCode>
                <c:ptCount val="13"/>
                <c:pt idx="0">
                  <c:v>4.536131296563E-2</c:v>
                </c:pt>
                <c:pt idx="1">
                  <c:v>2.8491813139279999E-2</c:v>
                </c:pt>
                <c:pt idx="2">
                  <c:v>2.8445541692090001E-2</c:v>
                </c:pt>
                <c:pt idx="3">
                  <c:v>-2.23161440265E-3</c:v>
                </c:pt>
                <c:pt idx="4">
                  <c:v>2.5729925504279997E-2</c:v>
                </c:pt>
                <c:pt idx="5">
                  <c:v>1.1014292279819999E-2</c:v>
                </c:pt>
                <c:pt idx="6">
                  <c:v>3.1652862055800003E-3</c:v>
                </c:pt>
                <c:pt idx="7">
                  <c:v>-2.49286098425E-3</c:v>
                </c:pt>
                <c:pt idx="8">
                  <c:v>4.3799152942000001E-3</c:v>
                </c:pt>
                <c:pt idx="9">
                  <c:v>-1.842722617377E-2</c:v>
                </c:pt>
                <c:pt idx="10">
                  <c:v>-9.5363856024069993E-2</c:v>
                </c:pt>
                <c:pt idx="11">
                  <c:v>6.368E-2</c:v>
                </c:pt>
                <c:pt idx="12">
                  <c:v>3.2314893051304201E-2</c:v>
                </c:pt>
              </c:numCache>
            </c:numRef>
          </c:val>
          <c:smooth val="0"/>
          <c:extLst>
            <c:ext xmlns:c16="http://schemas.microsoft.com/office/drawing/2014/chart" uri="{C3380CC4-5D6E-409C-BE32-E72D297353CC}">
              <c16:uniqueId val="{00000000-23EE-4719-AFFE-F6C7C17CF94B}"/>
            </c:ext>
          </c:extLst>
        </c:ser>
        <c:ser>
          <c:idx val="1"/>
          <c:order val="1"/>
          <c:tx>
            <c:strRef>
              <c:f>[graficas.xlsx]Hoja1!$A$29</c:f>
              <c:strCache>
                <c:ptCount val="1"/>
                <c:pt idx="0">
                  <c:v>Estatal</c:v>
                </c:pt>
              </c:strCache>
            </c:strRef>
          </c:tx>
          <c:spPr>
            <a:ln w="28575"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dLbls>
            <c:dLbl>
              <c:idx val="4"/>
              <c:layout>
                <c:manualLayout>
                  <c:x val="-3.888888888888889E-2"/>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EE-4719-AFFE-F6C7C17CF94B}"/>
                </c:ext>
              </c:extLst>
            </c:dLbl>
            <c:dLbl>
              <c:idx val="12"/>
              <c:layout>
                <c:manualLayout>
                  <c:x val="0"/>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EE-4719-AFFE-F6C7C17CF94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7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[graficas.xlsx]Hoja1!$B$27:$U$27</c:f>
              <c:strCache>
                <c:ptCount val="13"/>
                <c:pt idx="0">
                  <c:v>2010</c:v>
                </c:pt>
                <c:pt idx="1">
                  <c:v>2011</c:v>
                </c:pt>
                <c:pt idx="2">
                  <c:v>2012</c:v>
                </c:pt>
                <c:pt idx="3">
                  <c:v>2013</c:v>
                </c:pt>
                <c:pt idx="4">
                  <c:v>2014</c:v>
                </c:pt>
                <c:pt idx="5">
                  <c:v>2015</c:v>
                </c:pt>
                <c:pt idx="6">
                  <c:v>2016</c:v>
                </c:pt>
                <c:pt idx="7">
                  <c:v>2017</c:v>
                </c:pt>
                <c:pt idx="8">
                  <c:v>2018</c:v>
                </c:pt>
                <c:pt idx="9">
                  <c:v>2019R</c:v>
                </c:pt>
                <c:pt idx="10">
                  <c:v>2020R</c:v>
                </c:pt>
                <c:pt idx="11">
                  <c:v>2021R</c:v>
                </c:pt>
                <c:pt idx="12">
                  <c:v>2022P</c:v>
                </c:pt>
              </c:strCache>
            </c:strRef>
          </c:cat>
          <c:val>
            <c:numRef>
              <c:f>[graficas.xlsx]Hoja1!$B$29:$U$29</c:f>
              <c:numCache>
                <c:formatCode>###,###,###,###,##0.0</c:formatCode>
                <c:ptCount val="13"/>
                <c:pt idx="0">
                  <c:v>-2.5000000000000001E-2</c:v>
                </c:pt>
                <c:pt idx="1">
                  <c:v>5.0999999999999997E-2</c:v>
                </c:pt>
                <c:pt idx="2">
                  <c:v>0.02</c:v>
                </c:pt>
                <c:pt idx="3">
                  <c:v>6.7000000000000004E-2</c:v>
                </c:pt>
                <c:pt idx="4">
                  <c:v>3.1E-2</c:v>
                </c:pt>
                <c:pt idx="5">
                  <c:v>2.6000000000000002E-2</c:v>
                </c:pt>
                <c:pt idx="6">
                  <c:v>-7.9000000000000001E-2</c:v>
                </c:pt>
                <c:pt idx="7">
                  <c:v>-0.16399999999999998</c:v>
                </c:pt>
                <c:pt idx="8">
                  <c:v>0.13100000000000001</c:v>
                </c:pt>
                <c:pt idx="9">
                  <c:v>-0.124</c:v>
                </c:pt>
                <c:pt idx="10">
                  <c:v>-6.3E-2</c:v>
                </c:pt>
                <c:pt idx="11">
                  <c:v>0.15788196991193901</c:v>
                </c:pt>
                <c:pt idx="12">
                  <c:v>2.7167398599556799E-2</c:v>
                </c:pt>
              </c:numCache>
            </c:numRef>
          </c:val>
          <c:smooth val="0"/>
          <c:extLst>
            <c:ext xmlns:c16="http://schemas.microsoft.com/office/drawing/2014/chart" uri="{C3380CC4-5D6E-409C-BE32-E72D297353CC}">
              <c16:uniqueId val="{00000003-23EE-4719-AFFE-F6C7C17CF94B}"/>
            </c:ext>
          </c:extLst>
        </c:ser>
        <c:dLbls>
          <c:showLegendKey val="0"/>
          <c:showVal val="0"/>
          <c:showCatName val="0"/>
          <c:showSerName val="0"/>
          <c:showPercent val="0"/>
          <c:showBubbleSize val="0"/>
        </c:dLbls>
        <c:marker val="1"/>
        <c:smooth val="0"/>
        <c:axId val="546395480"/>
        <c:axId val="546398432"/>
      </c:lineChart>
      <c:catAx>
        <c:axId val="546395480"/>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s-MX"/>
          </a:p>
        </c:txPr>
        <c:crossAx val="546398432"/>
        <c:crosses val="autoZero"/>
        <c:auto val="1"/>
        <c:lblAlgn val="ctr"/>
        <c:lblOffset val="100"/>
        <c:noMultiLvlLbl val="0"/>
      </c:catAx>
      <c:valAx>
        <c:axId val="546398432"/>
        <c:scaling>
          <c:orientation val="minMax"/>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Narrow" panose="020B0606020202030204" pitchFamily="34" charset="0"/>
                <a:ea typeface="+mn-ea"/>
                <a:cs typeface="+mn-cs"/>
              </a:defRPr>
            </a:pPr>
            <a:endParaRPr lang="es-MX"/>
          </a:p>
        </c:txPr>
        <c:crossAx val="546395480"/>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Narrow" panose="020B0606020202030204" pitchFamily="34" charset="0"/>
                <a:ea typeface="+mn-ea"/>
                <a:cs typeface="+mn-cs"/>
              </a:defRPr>
            </a:pPr>
            <a:r>
              <a:rPr lang="es-MX" sz="1200" b="1">
                <a:solidFill>
                  <a:sysClr val="windowText" lastClr="000000"/>
                </a:solidFill>
                <a:latin typeface="Arial Narrow" panose="020B0606020202030204" pitchFamily="34" charset="0"/>
              </a:rPr>
              <a:t>Actividades</a:t>
            </a:r>
            <a:r>
              <a:rPr lang="es-MX" sz="1200" b="1" baseline="0">
                <a:solidFill>
                  <a:sysClr val="windowText" lastClr="000000"/>
                </a:solidFill>
                <a:latin typeface="Arial Narrow" panose="020B0606020202030204" pitchFamily="34" charset="0"/>
              </a:rPr>
              <a:t> Terciarias</a:t>
            </a:r>
            <a:r>
              <a:rPr lang="es-MX" sz="1200" b="1" i="0" u="none" strike="noStrike" kern="1200" spc="0" baseline="0">
                <a:solidFill>
                  <a:sysClr val="windowText" lastClr="000000"/>
                </a:solidFill>
                <a:latin typeface="Arial Narrow" panose="020B0606020202030204" pitchFamily="34" charset="0"/>
                <a:ea typeface="+mn-ea"/>
                <a:cs typeface="+mn-cs"/>
              </a:rPr>
              <a:t> 2010-2022</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Narrow" panose="020B0606020202030204" pitchFamily="34" charset="0"/>
              <a:ea typeface="+mn-ea"/>
              <a:cs typeface="+mn-cs"/>
            </a:defRPr>
          </a:pPr>
          <a:endParaRPr lang="es-MX"/>
        </a:p>
      </c:txPr>
    </c:title>
    <c:autoTitleDeleted val="0"/>
    <c:plotArea>
      <c:layout>
        <c:manualLayout>
          <c:layoutTarget val="inner"/>
          <c:xMode val="edge"/>
          <c:yMode val="edge"/>
          <c:x val="8.1889107611548551E-2"/>
          <c:y val="0.15634259259259262"/>
          <c:w val="0.89311089238845143"/>
          <c:h val="0.54183993949908804"/>
        </c:manualLayout>
      </c:layout>
      <c:lineChart>
        <c:grouping val="standard"/>
        <c:varyColors val="0"/>
        <c:ser>
          <c:idx val="0"/>
          <c:order val="0"/>
          <c:tx>
            <c:strRef>
              <c:f>[graficas.xlsx]Hoja1!$A$33</c:f>
              <c:strCache>
                <c:ptCount val="1"/>
                <c:pt idx="0">
                  <c:v>Nacional</c:v>
                </c:pt>
              </c:strCache>
            </c:strRef>
          </c:tx>
          <c:spPr>
            <a:ln w="12700" cap="rnd">
              <a:solidFill>
                <a:schemeClr val="bg1">
                  <a:lumMod val="50000"/>
                </a:schemeClr>
              </a:solidFill>
              <a:prstDash val="dash"/>
              <a:round/>
            </a:ln>
            <a:effectLst/>
          </c:spPr>
          <c:marker>
            <c:symbol val="diamond"/>
            <c:size val="5"/>
            <c:spPr>
              <a:solidFill>
                <a:schemeClr val="bg1">
                  <a:lumMod val="50000"/>
                </a:schemeClr>
              </a:solidFill>
              <a:ln w="12700">
                <a:solidFill>
                  <a:schemeClr val="bg1">
                    <a:lumMod val="50000"/>
                  </a:schemeClr>
                </a:solidFill>
                <a:prstDash val="dash"/>
              </a:ln>
              <a:effectLst/>
            </c:spPr>
          </c:marker>
          <c:cat>
            <c:strRef>
              <c:f>[graficas.xlsx]Hoja1!$B$32:$U$32</c:f>
              <c:strCache>
                <c:ptCount val="13"/>
                <c:pt idx="0">
                  <c:v>2010</c:v>
                </c:pt>
                <c:pt idx="1">
                  <c:v>2011</c:v>
                </c:pt>
                <c:pt idx="2">
                  <c:v>2012</c:v>
                </c:pt>
                <c:pt idx="3">
                  <c:v>2013</c:v>
                </c:pt>
                <c:pt idx="4">
                  <c:v>2014</c:v>
                </c:pt>
                <c:pt idx="5">
                  <c:v>2015</c:v>
                </c:pt>
                <c:pt idx="6">
                  <c:v>2016</c:v>
                </c:pt>
                <c:pt idx="7">
                  <c:v>2017</c:v>
                </c:pt>
                <c:pt idx="8">
                  <c:v>2018</c:v>
                </c:pt>
                <c:pt idx="9">
                  <c:v>2019R</c:v>
                </c:pt>
                <c:pt idx="10">
                  <c:v>2020R</c:v>
                </c:pt>
                <c:pt idx="11">
                  <c:v>2021R</c:v>
                </c:pt>
                <c:pt idx="12">
                  <c:v>2022P</c:v>
                </c:pt>
              </c:strCache>
            </c:strRef>
          </c:cat>
          <c:val>
            <c:numRef>
              <c:f>[graficas.xlsx]Hoja1!$B$33:$U$33</c:f>
              <c:numCache>
                <c:formatCode>General</c:formatCode>
                <c:ptCount val="13"/>
                <c:pt idx="0">
                  <c:v>5.7000000000000002E-2</c:v>
                </c:pt>
                <c:pt idx="1">
                  <c:v>4.4999999999999998E-2</c:v>
                </c:pt>
                <c:pt idx="2">
                  <c:v>4.0999999999999995E-2</c:v>
                </c:pt>
                <c:pt idx="3">
                  <c:v>2.2000000000000002E-2</c:v>
                </c:pt>
                <c:pt idx="4">
                  <c:v>2.7000000000000003E-2</c:v>
                </c:pt>
                <c:pt idx="5">
                  <c:v>4.2999999999999997E-2</c:v>
                </c:pt>
                <c:pt idx="6">
                  <c:v>3.4000000000000002E-2</c:v>
                </c:pt>
                <c:pt idx="7">
                  <c:v>3.1E-2</c:v>
                </c:pt>
                <c:pt idx="8">
                  <c:v>2.8999999999999998E-2</c:v>
                </c:pt>
                <c:pt idx="9">
                  <c:v>6.0000000000000001E-3</c:v>
                </c:pt>
                <c:pt idx="10">
                  <c:v>-7.4999999999999997E-2</c:v>
                </c:pt>
                <c:pt idx="11">
                  <c:v>4.1440000000000005E-2</c:v>
                </c:pt>
                <c:pt idx="12">
                  <c:v>1.03993510391305E-2</c:v>
                </c:pt>
              </c:numCache>
            </c:numRef>
          </c:val>
          <c:smooth val="0"/>
          <c:extLst>
            <c:ext xmlns:c16="http://schemas.microsoft.com/office/drawing/2014/chart" uri="{C3380CC4-5D6E-409C-BE32-E72D297353CC}">
              <c16:uniqueId val="{00000000-9172-43A8-9B08-EEC1D1728FDB}"/>
            </c:ext>
          </c:extLst>
        </c:ser>
        <c:ser>
          <c:idx val="1"/>
          <c:order val="1"/>
          <c:tx>
            <c:strRef>
              <c:f>[graficas.xlsx]Hoja1!$A$34</c:f>
              <c:strCache>
                <c:ptCount val="1"/>
                <c:pt idx="0">
                  <c:v>Estatal</c:v>
                </c:pt>
              </c:strCache>
            </c:strRef>
          </c:tx>
          <c:spPr>
            <a:ln w="28575" cap="rnd">
              <a:solidFill>
                <a:schemeClr val="accent5">
                  <a:lumMod val="75000"/>
                </a:schemeClr>
              </a:solidFill>
              <a:round/>
            </a:ln>
            <a:effectLst/>
          </c:spPr>
          <c:marker>
            <c:symbol val="circle"/>
            <c:size val="5"/>
            <c:spPr>
              <a:solidFill>
                <a:schemeClr val="accent5">
                  <a:lumMod val="75000"/>
                </a:schemeClr>
              </a:solidFill>
              <a:ln w="9525">
                <a:solidFill>
                  <a:schemeClr val="accent5">
                    <a:lumMod val="75000"/>
                  </a:schemeClr>
                </a:solidFill>
              </a:ln>
              <a:effectLst/>
            </c:spPr>
          </c:marker>
          <c:dLbls>
            <c:dLbl>
              <c:idx val="0"/>
              <c:layout>
                <c:manualLayout>
                  <c:x val="-1.9444444444444459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72-43A8-9B08-EEC1D1728FDB}"/>
                </c:ext>
              </c:extLst>
            </c:dLbl>
            <c:dLbl>
              <c:idx val="1"/>
              <c:layout>
                <c:manualLayout>
                  <c:x val="5.5555555555555046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72-43A8-9B08-EEC1D1728FDB}"/>
                </c:ext>
              </c:extLst>
            </c:dLbl>
            <c:dLbl>
              <c:idx val="11"/>
              <c:layout>
                <c:manualLayout>
                  <c:x val="-5.5555555555556572E-3"/>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72-43A8-9B08-EEC1D1728FDB}"/>
                </c:ext>
              </c:extLst>
            </c:dLbl>
            <c:dLbl>
              <c:idx val="12"/>
              <c:layout>
                <c:manualLayout>
                  <c:x val="0"/>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72-43A8-9B08-EEC1D1728FD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7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[graficas.xlsx]Hoja1!$B$32:$U$32</c:f>
              <c:strCache>
                <c:ptCount val="13"/>
                <c:pt idx="0">
                  <c:v>2010</c:v>
                </c:pt>
                <c:pt idx="1">
                  <c:v>2011</c:v>
                </c:pt>
                <c:pt idx="2">
                  <c:v>2012</c:v>
                </c:pt>
                <c:pt idx="3">
                  <c:v>2013</c:v>
                </c:pt>
                <c:pt idx="4">
                  <c:v>2014</c:v>
                </c:pt>
                <c:pt idx="5">
                  <c:v>2015</c:v>
                </c:pt>
                <c:pt idx="6">
                  <c:v>2016</c:v>
                </c:pt>
                <c:pt idx="7">
                  <c:v>2017</c:v>
                </c:pt>
                <c:pt idx="8">
                  <c:v>2018</c:v>
                </c:pt>
                <c:pt idx="9">
                  <c:v>2019R</c:v>
                </c:pt>
                <c:pt idx="10">
                  <c:v>2020R</c:v>
                </c:pt>
                <c:pt idx="11">
                  <c:v>2021R</c:v>
                </c:pt>
                <c:pt idx="12">
                  <c:v>2022P</c:v>
                </c:pt>
              </c:strCache>
            </c:strRef>
          </c:cat>
          <c:val>
            <c:numRef>
              <c:f>[graficas.xlsx]Hoja1!$B$34:$U$34</c:f>
              <c:numCache>
                <c:formatCode>General</c:formatCode>
                <c:ptCount val="13"/>
                <c:pt idx="0">
                  <c:v>3.4000000000000002E-2</c:v>
                </c:pt>
                <c:pt idx="1">
                  <c:v>2.6000000000000002E-2</c:v>
                </c:pt>
                <c:pt idx="2">
                  <c:v>1.7000000000000001E-2</c:v>
                </c:pt>
                <c:pt idx="3">
                  <c:v>6.0000000000000001E-3</c:v>
                </c:pt>
                <c:pt idx="4">
                  <c:v>1.6E-2</c:v>
                </c:pt>
                <c:pt idx="5">
                  <c:v>5.2000000000000005E-2</c:v>
                </c:pt>
                <c:pt idx="6">
                  <c:v>6.9999999999999993E-3</c:v>
                </c:pt>
                <c:pt idx="7">
                  <c:v>2.6000000000000002E-2</c:v>
                </c:pt>
                <c:pt idx="8">
                  <c:v>1.3999999999999999E-2</c:v>
                </c:pt>
                <c:pt idx="9">
                  <c:v>1E-3</c:v>
                </c:pt>
                <c:pt idx="10">
                  <c:v>-7.2999999999999995E-2</c:v>
                </c:pt>
                <c:pt idx="11">
                  <c:v>4.5482679430048301E-2</c:v>
                </c:pt>
                <c:pt idx="12">
                  <c:v>3.0759812929651398E-2</c:v>
                </c:pt>
              </c:numCache>
            </c:numRef>
          </c:val>
          <c:smooth val="0"/>
          <c:extLst>
            <c:ext xmlns:c16="http://schemas.microsoft.com/office/drawing/2014/chart" uri="{C3380CC4-5D6E-409C-BE32-E72D297353CC}">
              <c16:uniqueId val="{00000005-9172-43A8-9B08-EEC1D1728FDB}"/>
            </c:ext>
          </c:extLst>
        </c:ser>
        <c:dLbls>
          <c:showLegendKey val="0"/>
          <c:showVal val="0"/>
          <c:showCatName val="0"/>
          <c:showSerName val="0"/>
          <c:showPercent val="0"/>
          <c:showBubbleSize val="0"/>
        </c:dLbls>
        <c:marker val="1"/>
        <c:smooth val="0"/>
        <c:axId val="546389904"/>
        <c:axId val="546387608"/>
      </c:lineChart>
      <c:catAx>
        <c:axId val="546389904"/>
        <c:scaling>
          <c:orientation val="minMax"/>
        </c:scaling>
        <c:delete val="0"/>
        <c:axPos val="b"/>
        <c:numFmt formatCode="General" sourceLinked="1"/>
        <c:majorTickMark val="out"/>
        <c:minorTickMark val="none"/>
        <c:tickLblPos val="low"/>
        <c:spPr>
          <a:noFill/>
          <a:ln w="9525" cap="flat" cmpd="sng" algn="ctr">
            <a:solidFill>
              <a:schemeClr val="tx1"/>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Calibri (Cuerpo)"/>
                <a:ea typeface="+mn-ea"/>
                <a:cs typeface="+mn-cs"/>
              </a:defRPr>
            </a:pPr>
            <a:endParaRPr lang="es-MX"/>
          </a:p>
        </c:txPr>
        <c:crossAx val="546387608"/>
        <c:crosses val="autoZero"/>
        <c:auto val="1"/>
        <c:lblAlgn val="ctr"/>
        <c:lblOffset val="100"/>
        <c:noMultiLvlLbl val="0"/>
      </c:catAx>
      <c:valAx>
        <c:axId val="546387608"/>
        <c:scaling>
          <c:orientation val="minMax"/>
          <c:min val="-8.0000000000000016E-2"/>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lgn="ctr">
              <a:defRPr lang="en-US" sz="900" b="0" i="0" u="none" strike="noStrike" kern="1200" baseline="0">
                <a:solidFill>
                  <a:sysClr val="windowText" lastClr="000000"/>
                </a:solidFill>
                <a:latin typeface="Arial Narrow" panose="020B0606020202030204" pitchFamily="34" charset="0"/>
                <a:ea typeface="+mn-ea"/>
                <a:cs typeface="+mn-cs"/>
              </a:defRPr>
            </a:pPr>
            <a:endParaRPr lang="es-MX"/>
          </a:p>
        </c:txPr>
        <c:crossAx val="546389904"/>
        <c:crosses val="autoZero"/>
        <c:crossBetween val="between"/>
        <c:majorUnit val="4.0000000000000008E-2"/>
      </c:valAx>
      <c:spPr>
        <a:noFill/>
        <a:ln>
          <a:noFill/>
        </a:ln>
        <a:effectLst/>
      </c:spPr>
    </c:plotArea>
    <c:legend>
      <c:legendPos val="b"/>
      <c:layout>
        <c:manualLayout>
          <c:xMode val="edge"/>
          <c:yMode val="edge"/>
          <c:x val="0.33348449336809494"/>
          <c:y val="0.89910243282369973"/>
          <c:w val="0.3196529112790667"/>
          <c:h val="0.100897567176300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5.0925925925925923E-2"/>
          <c:w val="0.99614085983162315"/>
          <c:h val="0.60311972222222221"/>
        </c:manualLayout>
      </c:layout>
      <c:pie3DChart>
        <c:varyColors val="1"/>
        <c:ser>
          <c:idx val="0"/>
          <c:order val="0"/>
          <c:spPr>
            <a:effectLst/>
          </c:spPr>
          <c:explosion val="2"/>
          <c:dPt>
            <c:idx val="0"/>
            <c:bubble3D val="0"/>
            <c:spPr>
              <a:solidFill>
                <a:srgbClr val="92D050"/>
              </a:solidFill>
              <a:ln>
                <a:noFill/>
              </a:ln>
              <a:effectLst/>
              <a:sp3d/>
            </c:spPr>
            <c:extLst>
              <c:ext xmlns:c16="http://schemas.microsoft.com/office/drawing/2014/chart" uri="{C3380CC4-5D6E-409C-BE32-E72D297353CC}">
                <c16:uniqueId val="{00000001-EE3B-4D61-BCC2-445E3B24BB2B}"/>
              </c:ext>
            </c:extLst>
          </c:dPt>
          <c:dPt>
            <c:idx val="1"/>
            <c:bubble3D val="0"/>
            <c:explosion val="4"/>
            <c:spPr>
              <a:solidFill>
                <a:srgbClr val="FF0000"/>
              </a:solidFill>
              <a:ln>
                <a:noFill/>
              </a:ln>
              <a:effectLst/>
              <a:sp3d/>
            </c:spPr>
            <c:extLst>
              <c:ext xmlns:c16="http://schemas.microsoft.com/office/drawing/2014/chart" uri="{C3380CC4-5D6E-409C-BE32-E72D297353CC}">
                <c16:uniqueId val="{00000003-EE3B-4D61-BCC2-445E3B24BB2B}"/>
              </c:ext>
            </c:extLst>
          </c:dPt>
          <c:dPt>
            <c:idx val="2"/>
            <c:bubble3D val="0"/>
            <c:spPr>
              <a:solidFill>
                <a:srgbClr val="FFFF00"/>
              </a:solidFill>
              <a:ln>
                <a:noFill/>
              </a:ln>
              <a:effectLst/>
              <a:sp3d>
                <a:contourClr>
                  <a:schemeClr val="accent1"/>
                </a:contourClr>
              </a:sp3d>
            </c:spPr>
            <c:extLst>
              <c:ext xmlns:c16="http://schemas.microsoft.com/office/drawing/2014/chart" uri="{C3380CC4-5D6E-409C-BE32-E72D297353CC}">
                <c16:uniqueId val="{00000005-EE3B-4D61-BCC2-445E3B24BB2B}"/>
              </c:ext>
            </c:extLst>
          </c:dPt>
          <c:dPt>
            <c:idx val="3"/>
            <c:bubble3D val="0"/>
            <c:explosion val="0"/>
            <c:spPr>
              <a:solidFill>
                <a:schemeClr val="accent4"/>
              </a:solidFill>
              <a:ln>
                <a:noFill/>
              </a:ln>
              <a:effectLst/>
              <a:sp3d/>
            </c:spPr>
            <c:extLst>
              <c:ext xmlns:c16="http://schemas.microsoft.com/office/drawing/2014/chart" uri="{C3380CC4-5D6E-409C-BE32-E72D297353CC}">
                <c16:uniqueId val="{00000007-EE3B-4D61-BCC2-445E3B24BB2B}"/>
              </c:ext>
            </c:extLst>
          </c:dPt>
          <c:dPt>
            <c:idx val="4"/>
            <c:bubble3D val="0"/>
            <c:spPr>
              <a:solidFill>
                <a:srgbClr val="00B050"/>
              </a:solidFill>
              <a:ln w="12700">
                <a:noFill/>
              </a:ln>
              <a:effectLst/>
              <a:sp3d/>
            </c:spPr>
            <c:extLst>
              <c:ext xmlns:c16="http://schemas.microsoft.com/office/drawing/2014/chart" uri="{C3380CC4-5D6E-409C-BE32-E72D297353CC}">
                <c16:uniqueId val="{00000009-EE3B-4D61-BCC2-445E3B24BB2B}"/>
              </c:ext>
            </c:extLst>
          </c:dPt>
          <c:dPt>
            <c:idx val="5"/>
            <c:bubble3D val="0"/>
            <c:explosion val="7"/>
            <c:spPr>
              <a:solidFill>
                <a:srgbClr val="FF3399"/>
              </a:solidFill>
              <a:ln>
                <a:noFill/>
              </a:ln>
              <a:effectLst/>
              <a:sp3d>
                <a:contourClr>
                  <a:schemeClr val="accent1"/>
                </a:contourClr>
              </a:sp3d>
            </c:spPr>
            <c:extLst>
              <c:ext xmlns:c16="http://schemas.microsoft.com/office/drawing/2014/chart" uri="{C3380CC4-5D6E-409C-BE32-E72D297353CC}">
                <c16:uniqueId val="{0000000B-EE3B-4D61-BCC2-445E3B24BB2B}"/>
              </c:ext>
            </c:extLst>
          </c:dPt>
          <c:dPt>
            <c:idx val="6"/>
            <c:bubble3D val="0"/>
            <c:explosion val="4"/>
            <c:spPr>
              <a:solidFill>
                <a:schemeClr val="accent1">
                  <a:lumMod val="50000"/>
                </a:schemeClr>
              </a:solidFill>
              <a:ln w="19050">
                <a:noFill/>
              </a:ln>
              <a:effectLst/>
              <a:sp3d/>
            </c:spPr>
            <c:extLst>
              <c:ext xmlns:c16="http://schemas.microsoft.com/office/drawing/2014/chart" uri="{C3380CC4-5D6E-409C-BE32-E72D297353CC}">
                <c16:uniqueId val="{0000000D-EE3B-4D61-BCC2-445E3B24BB2B}"/>
              </c:ext>
            </c:extLst>
          </c:dPt>
          <c:dPt>
            <c:idx val="7"/>
            <c:bubble3D val="0"/>
            <c:spPr>
              <a:solidFill>
                <a:schemeClr val="accent5"/>
              </a:solidFill>
              <a:ln>
                <a:noFill/>
              </a:ln>
              <a:effectLst/>
              <a:sp3d/>
            </c:spPr>
            <c:extLst>
              <c:ext xmlns:c16="http://schemas.microsoft.com/office/drawing/2014/chart" uri="{C3380CC4-5D6E-409C-BE32-E72D297353CC}">
                <c16:uniqueId val="{0000000F-EE3B-4D61-BCC2-445E3B24BB2B}"/>
              </c:ext>
            </c:extLst>
          </c:dPt>
          <c:dLbls>
            <c:dLbl>
              <c:idx val="0"/>
              <c:layout>
                <c:manualLayout>
                  <c:x val="-3.8780864197530862E-3"/>
                  <c:y val="-4.5823055555555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3B-4D61-BCC2-445E3B24BB2B}"/>
                </c:ext>
              </c:extLst>
            </c:dLbl>
            <c:dLbl>
              <c:idx val="1"/>
              <c:layout>
                <c:manualLayout>
                  <c:x val="2.3140027381663038E-2"/>
                  <c:y val="-4.6038568095654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3B-4D61-BCC2-445E3B24BB2B}"/>
                </c:ext>
              </c:extLst>
            </c:dLbl>
            <c:dLbl>
              <c:idx val="2"/>
              <c:layout>
                <c:manualLayout>
                  <c:x val="2.1820349425386576E-2"/>
                  <c:y val="-1.6058534918014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3B-4D61-BCC2-445E3B24BB2B}"/>
                </c:ext>
              </c:extLst>
            </c:dLbl>
            <c:dLbl>
              <c:idx val="3"/>
              <c:layout>
                <c:manualLayout>
                  <c:x val="2.703844265765917E-2"/>
                  <c:y val="7.93161271507732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3B-4D61-BCC2-445E3B24BB2B}"/>
                </c:ext>
              </c:extLst>
            </c:dLbl>
            <c:dLbl>
              <c:idx val="4"/>
              <c:layout>
                <c:manualLayout>
                  <c:x val="-2.2558564814814816E-2"/>
                  <c:y val="7.716666666666667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3B-4D61-BCC2-445E3B24BB2B}"/>
                </c:ext>
              </c:extLst>
            </c:dLbl>
            <c:dLbl>
              <c:idx val="5"/>
              <c:layout>
                <c:manualLayout>
                  <c:x val="-2.3157271964698894E-2"/>
                  <c:y val="2.2425269757946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3B-4D61-BCC2-445E3B24BB2B}"/>
                </c:ext>
              </c:extLst>
            </c:dLbl>
            <c:dLbl>
              <c:idx val="6"/>
              <c:layout>
                <c:manualLayout>
                  <c:x val="1.636510930102919E-2"/>
                  <c:y val="-5.2083611111111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3B-4D61-BCC2-445E3B24BB2B}"/>
                </c:ext>
              </c:extLst>
            </c:dLbl>
            <c:dLbl>
              <c:idx val="7"/>
              <c:layout>
                <c:manualLayout>
                  <c:x val="8.6483351856707025E-2"/>
                  <c:y val="-1.0460073232622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E3B-4D61-BCC2-445E3B24BB2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ln>
                      <a:noFill/>
                    </a:ln>
                    <a:solidFill>
                      <a:schemeClr val="tx1"/>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Administrativa!$B$4:$B$11</c:f>
              <c:strCache>
                <c:ptCount val="8"/>
                <c:pt idx="0">
                  <c:v>ADMINISTRACIÓN PÚBLICA CENTRALIZADA</c:v>
                </c:pt>
                <c:pt idx="1">
                  <c:v>PODER LEGISLATIVO</c:v>
                </c:pt>
                <c:pt idx="2">
                  <c:v>PODER JUDICIAL</c:v>
                </c:pt>
                <c:pt idx="3">
                  <c:v>ÓRGANOS AUTÓNOMOS</c:v>
                </c:pt>
                <c:pt idx="4">
                  <c:v>ORGANISMOS PÚBLICOS DESCENTRALIZADOS</c:v>
                </c:pt>
                <c:pt idx="5">
                  <c:v>FIDEICOMISOS PÚBLICOS</c:v>
                </c:pt>
                <c:pt idx="6">
                  <c:v>INSTITUCIONES PÚBLICAS DE SEGURIDAD SOCIAL</c:v>
                </c:pt>
                <c:pt idx="7">
                  <c:v>MUNICIPIOS</c:v>
                </c:pt>
              </c:strCache>
            </c:strRef>
          </c:cat>
          <c:val>
            <c:numRef>
              <c:f>Administrativa!$E$4:$E$11</c:f>
              <c:numCache>
                <c:formatCode>0.00%</c:formatCode>
                <c:ptCount val="8"/>
                <c:pt idx="0">
                  <c:v>0.24185604309473782</c:v>
                </c:pt>
                <c:pt idx="1">
                  <c:v>6.2757533429228718E-3</c:v>
                </c:pt>
                <c:pt idx="2">
                  <c:v>1.2011483332436113E-2</c:v>
                </c:pt>
                <c:pt idx="3">
                  <c:v>2.8418128252727118E-2</c:v>
                </c:pt>
                <c:pt idx="4">
                  <c:v>0.48548672168554718</c:v>
                </c:pt>
                <c:pt idx="5">
                  <c:v>2.4980191616274909E-4</c:v>
                </c:pt>
                <c:pt idx="6">
                  <c:v>9.0758370628183285E-3</c:v>
                </c:pt>
                <c:pt idx="7">
                  <c:v>0.2166262313126478</c:v>
                </c:pt>
              </c:numCache>
            </c:numRef>
          </c:val>
          <c:extLst>
            <c:ext xmlns:c16="http://schemas.microsoft.com/office/drawing/2014/chart" uri="{C3380CC4-5D6E-409C-BE32-E72D297353CC}">
              <c16:uniqueId val="{00000010-EE3B-4D61-BCC2-445E3B24BB2B}"/>
            </c:ext>
          </c:extLst>
        </c:ser>
        <c:dLbls>
          <c:showLegendKey val="0"/>
          <c:showVal val="0"/>
          <c:showCatName val="0"/>
          <c:showSerName val="0"/>
          <c:showPercent val="0"/>
          <c:showBubbleSize val="0"/>
          <c:showLeaderLines val="1"/>
        </c:dLbls>
      </c:pie3DChart>
      <c:spPr>
        <a:noFill/>
        <a:ln>
          <a:noFill/>
        </a:ln>
        <a:effectLst>
          <a:glow rad="228600">
            <a:schemeClr val="accent6">
              <a:satMod val="175000"/>
              <a:alpha val="40000"/>
            </a:schemeClr>
          </a:glow>
          <a:softEdge rad="431800"/>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
            <c:spPr>
              <a:solidFill>
                <a:srgbClr val="00B0F0"/>
              </a:solidFill>
              <a:ln>
                <a:solidFill>
                  <a:srgbClr val="00B0F0"/>
                </a:solidFill>
              </a:ln>
              <a:effectLst/>
              <a:sp3d contourW="25400">
                <a:contourClr>
                  <a:srgbClr val="00B0F0"/>
                </a:contourClr>
              </a:sp3d>
            </c:spPr>
            <c:extLst>
              <c:ext xmlns:c16="http://schemas.microsoft.com/office/drawing/2014/chart" uri="{C3380CC4-5D6E-409C-BE32-E72D297353CC}">
                <c16:uniqueId val="{00000001-5257-4409-9BE9-07AC05C3A943}"/>
              </c:ext>
            </c:extLst>
          </c:dPt>
          <c:dPt>
            <c:idx val="1"/>
            <c:bubble3D val="0"/>
            <c:spPr>
              <a:solidFill>
                <a:srgbClr val="92D050"/>
              </a:solidFill>
              <a:ln w="25400">
                <a:solidFill>
                  <a:srgbClr val="92D050"/>
                </a:solidFill>
              </a:ln>
              <a:effectLst/>
              <a:sp3d contourW="25400">
                <a:contourClr>
                  <a:srgbClr val="92D050"/>
                </a:contourClr>
              </a:sp3d>
            </c:spPr>
            <c:extLst>
              <c:ext xmlns:c16="http://schemas.microsoft.com/office/drawing/2014/chart" uri="{C3380CC4-5D6E-409C-BE32-E72D297353CC}">
                <c16:uniqueId val="{00000003-5257-4409-9BE9-07AC05C3A943}"/>
              </c:ext>
            </c:extLst>
          </c:dPt>
          <c:dPt>
            <c:idx val="2"/>
            <c:bubble3D val="0"/>
            <c:explosion val="2"/>
            <c:spPr>
              <a:solidFill>
                <a:schemeClr val="accent4"/>
              </a:solidFill>
              <a:ln w="25400">
                <a:noFill/>
              </a:ln>
              <a:effectLst/>
              <a:sp3d contourW="25400">
                <a:contourClr>
                  <a:srgbClr val="FFC000"/>
                </a:contourClr>
              </a:sp3d>
            </c:spPr>
            <c:extLst>
              <c:ext xmlns:c16="http://schemas.microsoft.com/office/drawing/2014/chart" uri="{C3380CC4-5D6E-409C-BE32-E72D297353CC}">
                <c16:uniqueId val="{00000005-5257-4409-9BE9-07AC05C3A943}"/>
              </c:ext>
            </c:extLst>
          </c:dPt>
          <c:dPt>
            <c:idx val="3"/>
            <c:bubble3D val="0"/>
            <c:explosion val="1"/>
            <c:spPr>
              <a:solidFill>
                <a:srgbClr val="006600"/>
              </a:solidFill>
              <a:ln w="25400">
                <a:noFill/>
              </a:ln>
              <a:effectLst/>
              <a:sp3d contourW="25400">
                <a:contourClr>
                  <a:srgbClr val="006600"/>
                </a:contourClr>
              </a:sp3d>
            </c:spPr>
            <c:extLst>
              <c:ext xmlns:c16="http://schemas.microsoft.com/office/drawing/2014/chart" uri="{C3380CC4-5D6E-409C-BE32-E72D297353CC}">
                <c16:uniqueId val="{00000007-5257-4409-9BE9-07AC05C3A943}"/>
              </c:ext>
            </c:extLst>
          </c:dPt>
          <c:dLbls>
            <c:dLbl>
              <c:idx val="0"/>
              <c:layout>
                <c:manualLayout>
                  <c:x val="1.8034259259259187E-2"/>
                  <c:y val="-1.21314523184601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57-4409-9BE9-07AC05C3A943}"/>
                </c:ext>
              </c:extLst>
            </c:dLbl>
            <c:dLbl>
              <c:idx val="1"/>
              <c:layout>
                <c:manualLayout>
                  <c:x val="0.10462283950617284"/>
                  <c:y val="-0.124046733741615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57-4409-9BE9-07AC05C3A943}"/>
                </c:ext>
              </c:extLst>
            </c:dLbl>
            <c:dLbl>
              <c:idx val="2"/>
              <c:layout>
                <c:manualLayout>
                  <c:x val="-3.5328703703703702E-2"/>
                  <c:y val="-8.41994444444444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57-4409-9BE9-07AC05C3A943}"/>
                </c:ext>
              </c:extLst>
            </c:dLbl>
            <c:dLbl>
              <c:idx val="3"/>
              <c:layout>
                <c:manualLayout>
                  <c:x val="-3.3723765432098767E-3"/>
                  <c:y val="-4.0314231554389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57-4409-9BE9-07AC05C3A94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Calibri "/>
                    <a:ea typeface="+mn-ea"/>
                    <a:cs typeface="Arial" panose="020B0604020202020204" pitchFamily="34" charset="0"/>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Funcional!$B$3:$B$6</c:f>
              <c:strCache>
                <c:ptCount val="4"/>
                <c:pt idx="0">
                  <c:v>GOBIERNO</c:v>
                </c:pt>
                <c:pt idx="1">
                  <c:v>DESARROLLO SOCIAL</c:v>
                </c:pt>
                <c:pt idx="2">
                  <c:v>DESARROLLO ECONÓMICO </c:v>
                </c:pt>
                <c:pt idx="3">
                  <c:v>OTRAS NO CLASIFICADAS EN FUNCIONES ANTERIORES</c:v>
                </c:pt>
              </c:strCache>
            </c:strRef>
          </c:cat>
          <c:val>
            <c:numRef>
              <c:f>Funcional!$E$3:$E$6</c:f>
              <c:numCache>
                <c:formatCode>0.00%</c:formatCode>
                <c:ptCount val="4"/>
                <c:pt idx="0">
                  <c:v>0.11256911509109425</c:v>
                </c:pt>
                <c:pt idx="1">
                  <c:v>0.60533939162626449</c:v>
                </c:pt>
                <c:pt idx="2">
                  <c:v>4.4222401813387248E-2</c:v>
                </c:pt>
                <c:pt idx="3">
                  <c:v>0.23786909146925406</c:v>
                </c:pt>
              </c:numCache>
            </c:numRef>
          </c:val>
          <c:extLst>
            <c:ext xmlns:c16="http://schemas.microsoft.com/office/drawing/2014/chart" uri="{C3380CC4-5D6E-409C-BE32-E72D297353CC}">
              <c16:uniqueId val="{00000008-5257-4409-9BE9-07AC05C3A943}"/>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1.0802469135802472E-2"/>
          <c:y val="0.93035527777777782"/>
          <c:w val="0.97839506172839508"/>
          <c:h val="4.8478055555555559E-2"/>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bg1">
                  <a:lumMod val="50000"/>
                </a:schemeClr>
              </a:solidFill>
              <a:latin typeface="+mn-lt"/>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6088853780356374E-2"/>
          <c:y val="8.7695833333333334E-2"/>
          <c:w val="0.93159536541889487"/>
          <c:h val="0.73385472222222226"/>
        </c:manualLayout>
      </c:layout>
      <c:pie3DChart>
        <c:varyColors val="1"/>
        <c:ser>
          <c:idx val="0"/>
          <c:order val="0"/>
          <c:spPr>
            <a:ln>
              <a:solidFill>
                <a:srgbClr val="00B0F0"/>
              </a:solidFill>
            </a:ln>
          </c:spPr>
          <c:explosion val="2"/>
          <c:dPt>
            <c:idx val="0"/>
            <c:bubble3D val="0"/>
            <c:spPr>
              <a:solidFill>
                <a:schemeClr val="accent6"/>
              </a:solidFill>
              <a:ln w="25400">
                <a:solidFill>
                  <a:schemeClr val="accent6"/>
                </a:solidFill>
              </a:ln>
              <a:effectLst/>
              <a:sp3d contourW="25400">
                <a:contourClr>
                  <a:srgbClr val="92D050"/>
                </a:contourClr>
              </a:sp3d>
            </c:spPr>
            <c:extLst>
              <c:ext xmlns:c16="http://schemas.microsoft.com/office/drawing/2014/chart" uri="{C3380CC4-5D6E-409C-BE32-E72D297353CC}">
                <c16:uniqueId val="{00000001-4559-434E-843D-9F51612FA2F4}"/>
              </c:ext>
            </c:extLst>
          </c:dPt>
          <c:dPt>
            <c:idx val="1"/>
            <c:bubble3D val="0"/>
            <c:explosion val="0"/>
            <c:spPr>
              <a:solidFill>
                <a:schemeClr val="accent4"/>
              </a:solidFill>
              <a:ln w="25400">
                <a:solidFill>
                  <a:schemeClr val="accent4"/>
                </a:solidFill>
              </a:ln>
              <a:effectLst/>
              <a:sp3d contourW="25400">
                <a:contourClr>
                  <a:srgbClr val="FFC000"/>
                </a:contourClr>
              </a:sp3d>
            </c:spPr>
            <c:extLst>
              <c:ext xmlns:c16="http://schemas.microsoft.com/office/drawing/2014/chart" uri="{C3380CC4-5D6E-409C-BE32-E72D297353CC}">
                <c16:uniqueId val="{00000003-4559-434E-843D-9F51612FA2F4}"/>
              </c:ext>
            </c:extLst>
          </c:dPt>
          <c:dPt>
            <c:idx val="2"/>
            <c:bubble3D val="0"/>
            <c:explosion val="0"/>
            <c:spPr>
              <a:solidFill>
                <a:srgbClr val="FFFF00"/>
              </a:solidFill>
              <a:ln w="25400">
                <a:solidFill>
                  <a:srgbClr val="FFFF00"/>
                </a:solidFill>
              </a:ln>
              <a:effectLst/>
              <a:sp3d contourW="25400">
                <a:contourClr>
                  <a:srgbClr val="FFFF00"/>
                </a:contourClr>
              </a:sp3d>
            </c:spPr>
            <c:extLst>
              <c:ext xmlns:c16="http://schemas.microsoft.com/office/drawing/2014/chart" uri="{C3380CC4-5D6E-409C-BE32-E72D297353CC}">
                <c16:uniqueId val="{00000005-4559-434E-843D-9F51612FA2F4}"/>
              </c:ext>
            </c:extLst>
          </c:dPt>
          <c:dPt>
            <c:idx val="3"/>
            <c:bubble3D val="0"/>
            <c:explosion val="4"/>
            <c:spPr>
              <a:solidFill>
                <a:schemeClr val="tx2"/>
              </a:solidFill>
              <a:ln>
                <a:noFill/>
              </a:ln>
            </c:spPr>
            <c:extLst>
              <c:ext xmlns:c16="http://schemas.microsoft.com/office/drawing/2014/chart" uri="{C3380CC4-5D6E-409C-BE32-E72D297353CC}">
                <c16:uniqueId val="{00000007-4559-434E-843D-9F51612FA2F4}"/>
              </c:ext>
            </c:extLst>
          </c:dPt>
          <c:dLbls>
            <c:dLbl>
              <c:idx val="0"/>
              <c:layout>
                <c:manualLayout>
                  <c:x val="7.7418152109328578E-2"/>
                  <c:y val="-4.27894444444444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59-434E-843D-9F51612FA2F4}"/>
                </c:ext>
              </c:extLst>
            </c:dLbl>
            <c:dLbl>
              <c:idx val="1"/>
              <c:layout>
                <c:manualLayout>
                  <c:x val="-7.0971051511053151E-2"/>
                  <c:y val="2.680694444444444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Calibri   "/>
                      <a:ea typeface="+mn-ea"/>
                      <a:cs typeface="Arial" panose="020B0604020202020204" pitchFamily="34" charset="0"/>
                    </a:defRPr>
                  </a:pPr>
                  <a:endParaRPr lang="es-MX"/>
                </a:p>
              </c:txPr>
              <c:showLegendKey val="0"/>
              <c:showVal val="1"/>
              <c:showCatName val="0"/>
              <c:showSerName val="0"/>
              <c:showPercent val="0"/>
              <c:showBubbleSize val="0"/>
              <c:extLst>
                <c:ext xmlns:c15="http://schemas.microsoft.com/office/drawing/2012/chart" uri="{CE6537A1-D6FC-4f65-9D91-7224C49458BB}">
                  <c15:layout>
                    <c:manualLayout>
                      <c:w val="0.10435795639560018"/>
                      <c:h val="4.5808333333333333E-2"/>
                    </c:manualLayout>
                  </c15:layout>
                </c:ext>
                <c:ext xmlns:c16="http://schemas.microsoft.com/office/drawing/2014/chart" uri="{C3380CC4-5D6E-409C-BE32-E72D297353CC}">
                  <c16:uniqueId val="{00000003-4559-434E-843D-9F51612FA2F4}"/>
                </c:ext>
              </c:extLst>
            </c:dLbl>
            <c:dLbl>
              <c:idx val="2"/>
              <c:layout>
                <c:manualLayout>
                  <c:x val="0.12032412358882955"/>
                  <c:y val="-1.03733333333333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59-434E-843D-9F51612FA2F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Calibri   "/>
                    <a:ea typeface="+mn-ea"/>
                    <a:cs typeface="Arial" panose="020B0604020202020204" pitchFamily="34" charset="0"/>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Programatica!$B$3:$B$6</c:f>
              <c:strCache>
                <c:ptCount val="4"/>
                <c:pt idx="0">
                  <c:v>PROGRAMAS</c:v>
                </c:pt>
                <c:pt idx="1">
                  <c:v>PARTICIPACIONES A ENTIDADES FEDERATIVAS Y MUNICIPIOS</c:v>
                </c:pt>
                <c:pt idx="2">
                  <c:v>COSTO FINANCIERO, DEUDA O APOYOS A DEUDORES Y AHORRADORES DE LA BANCA</c:v>
                </c:pt>
                <c:pt idx="3">
                  <c:v>ADEUDOS DE EJERCICIOS FISCALES ANTERIORES</c:v>
                </c:pt>
              </c:strCache>
            </c:strRef>
          </c:cat>
          <c:val>
            <c:numRef>
              <c:f>Programatica!$E$3:$E$6</c:f>
              <c:numCache>
                <c:formatCode>0.00%</c:formatCode>
                <c:ptCount val="4"/>
                <c:pt idx="0">
                  <c:v>0.896081825324193</c:v>
                </c:pt>
                <c:pt idx="1">
                  <c:v>8.250378352310532E-2</c:v>
                </c:pt>
                <c:pt idx="2">
                  <c:v>2.0785524979131439E-2</c:v>
                </c:pt>
                <c:pt idx="3">
                  <c:v>6.2886617357019821E-4</c:v>
                </c:pt>
              </c:numCache>
            </c:numRef>
          </c:val>
          <c:extLst>
            <c:ext xmlns:c16="http://schemas.microsoft.com/office/drawing/2014/chart" uri="{C3380CC4-5D6E-409C-BE32-E72D297353CC}">
              <c16:uniqueId val="{00000008-4559-434E-843D-9F51612FA2F4}"/>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8051396316102208E-2"/>
          <c:y val="0.80552999999999997"/>
          <c:w val="0.9408756684491979"/>
          <c:h val="0.17330333333333334"/>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lumMod val="65000"/>
                  <a:lumOff val="35000"/>
                </a:schemeClr>
              </a:solidFill>
              <a:latin typeface="+mn-lt"/>
              <a:ea typeface="+mn-ea"/>
              <a:cs typeface="Arial" panose="020B0604020202020204" pitchFamily="34"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861111111111102E-2"/>
          <c:y val="5.2418055555555558E-2"/>
          <c:w val="0.91811728395061731"/>
          <c:h val="0.72679916666666666"/>
        </c:manualLayout>
      </c:layout>
      <c:pie3DChart>
        <c:varyColors val="1"/>
        <c:ser>
          <c:idx val="0"/>
          <c:order val="0"/>
          <c:dPt>
            <c:idx val="0"/>
            <c:bubble3D val="0"/>
            <c:spPr>
              <a:solidFill>
                <a:srgbClr val="92D050"/>
              </a:solidFill>
              <a:ln w="25400">
                <a:solidFill>
                  <a:srgbClr val="92D050"/>
                </a:solidFill>
              </a:ln>
              <a:effectLst/>
              <a:sp3d contourW="25400">
                <a:contourClr>
                  <a:srgbClr val="92D050"/>
                </a:contourClr>
              </a:sp3d>
            </c:spPr>
            <c:extLst>
              <c:ext xmlns:c16="http://schemas.microsoft.com/office/drawing/2014/chart" uri="{C3380CC4-5D6E-409C-BE32-E72D297353CC}">
                <c16:uniqueId val="{00000001-EC2D-411A-A72E-DD4C49926765}"/>
              </c:ext>
            </c:extLst>
          </c:dPt>
          <c:dPt>
            <c:idx val="1"/>
            <c:bubble3D val="0"/>
            <c:explosion val="1"/>
            <c:spPr>
              <a:solidFill>
                <a:srgbClr val="FFC000"/>
              </a:solidFill>
              <a:ln w="25400">
                <a:solidFill>
                  <a:srgbClr val="FFC000"/>
                </a:solidFill>
              </a:ln>
              <a:effectLst/>
              <a:sp3d contourW="25400">
                <a:contourClr>
                  <a:srgbClr val="FFC000"/>
                </a:contourClr>
              </a:sp3d>
            </c:spPr>
            <c:extLst>
              <c:ext xmlns:c16="http://schemas.microsoft.com/office/drawing/2014/chart" uri="{C3380CC4-5D6E-409C-BE32-E72D297353CC}">
                <c16:uniqueId val="{00000003-EC2D-411A-A72E-DD4C49926765}"/>
              </c:ext>
            </c:extLst>
          </c:dPt>
          <c:dPt>
            <c:idx val="2"/>
            <c:bubble3D val="0"/>
            <c:explosion val="3"/>
            <c:spPr>
              <a:solidFill>
                <a:srgbClr val="006600"/>
              </a:solidFill>
              <a:ln w="25400">
                <a:solidFill>
                  <a:srgbClr val="006600"/>
                </a:solidFill>
              </a:ln>
              <a:effectLst/>
              <a:sp3d contourW="25400">
                <a:contourClr>
                  <a:srgbClr val="006600"/>
                </a:contourClr>
              </a:sp3d>
            </c:spPr>
            <c:extLst>
              <c:ext xmlns:c16="http://schemas.microsoft.com/office/drawing/2014/chart" uri="{C3380CC4-5D6E-409C-BE32-E72D297353CC}">
                <c16:uniqueId val="{00000005-EC2D-411A-A72E-DD4C49926765}"/>
              </c:ext>
            </c:extLst>
          </c:dPt>
          <c:dPt>
            <c:idx val="3"/>
            <c:bubble3D val="0"/>
            <c:explosion val="5"/>
            <c:spPr>
              <a:solidFill>
                <a:srgbClr val="FF0000"/>
              </a:solidFill>
              <a:ln w="25400">
                <a:solidFill>
                  <a:srgbClr val="FF0000"/>
                </a:solidFill>
              </a:ln>
              <a:effectLst/>
              <a:sp3d contourW="25400">
                <a:contourClr>
                  <a:srgbClr val="FF0000"/>
                </a:contourClr>
              </a:sp3d>
            </c:spPr>
            <c:extLst>
              <c:ext xmlns:c16="http://schemas.microsoft.com/office/drawing/2014/chart" uri="{C3380CC4-5D6E-409C-BE32-E72D297353CC}">
                <c16:uniqueId val="{00000007-EC2D-411A-A72E-DD4C49926765}"/>
              </c:ext>
            </c:extLst>
          </c:dPt>
          <c:dPt>
            <c:idx val="4"/>
            <c:bubble3D val="0"/>
            <c:spPr>
              <a:solidFill>
                <a:srgbClr val="7030A0"/>
              </a:solidFill>
              <a:ln w="25400">
                <a:solidFill>
                  <a:srgbClr val="7030A0"/>
                </a:solidFill>
              </a:ln>
              <a:effectLst/>
              <a:sp3d contourW="25400">
                <a:contourClr>
                  <a:srgbClr val="7030A0"/>
                </a:contourClr>
              </a:sp3d>
            </c:spPr>
            <c:extLst>
              <c:ext xmlns:c16="http://schemas.microsoft.com/office/drawing/2014/chart" uri="{C3380CC4-5D6E-409C-BE32-E72D297353CC}">
                <c16:uniqueId val="{00000009-EC2D-411A-A72E-DD4C49926765}"/>
              </c:ext>
            </c:extLst>
          </c:dPt>
          <c:dLbls>
            <c:dLbl>
              <c:idx val="0"/>
              <c:layout>
                <c:manualLayout>
                  <c:x val="8.4746913580246913E-2"/>
                  <c:y val="-7.99894444444444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C2D-411A-A72E-DD4C49926765}"/>
                </c:ext>
              </c:extLst>
            </c:dLbl>
            <c:dLbl>
              <c:idx val="1"/>
              <c:layout>
                <c:manualLayout>
                  <c:x val="-2.4343055555555555E-2"/>
                  <c:y val="-1.57152777777777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2D-411A-A72E-DD4C49926765}"/>
                </c:ext>
              </c:extLst>
            </c:dLbl>
            <c:dLbl>
              <c:idx val="2"/>
              <c:layout>
                <c:manualLayout>
                  <c:x val="-3.2073379629629632E-2"/>
                  <c:y val="-3.30430555555555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C2D-411A-A72E-DD4C49926765}"/>
                </c:ext>
              </c:extLst>
            </c:dLbl>
            <c:dLbl>
              <c:idx val="3"/>
              <c:layout>
                <c:manualLayout>
                  <c:x val="1.8889120370370372E-2"/>
                  <c:y val="-6.01213888888888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C2D-411A-A72E-DD4C49926765}"/>
                </c:ext>
              </c:extLst>
            </c:dLbl>
            <c:dLbl>
              <c:idx val="4"/>
              <c:layout>
                <c:manualLayout>
                  <c:x val="8.4596219135802467E-2"/>
                  <c:y val="-2.6947499999999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2D-411A-A72E-DD4C49926765}"/>
                </c:ext>
              </c:extLst>
            </c:dLbl>
            <c:spPr>
              <a:noFill/>
              <a:ln>
                <a:noFill/>
              </a:ln>
              <a:effectLst/>
            </c:spPr>
            <c:txPr>
              <a:bodyPr rot="0" vert="horz"/>
              <a:lstStyle/>
              <a:p>
                <a:pPr>
                  <a:defRPr sz="1200"/>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Tipo!$B$4:$B$8</c:f>
              <c:strCache>
                <c:ptCount val="5"/>
                <c:pt idx="0">
                  <c:v>GASTO CORRIENTE </c:v>
                </c:pt>
                <c:pt idx="1">
                  <c:v>GASTO DE CAPITAL</c:v>
                </c:pt>
                <c:pt idx="2">
                  <c:v>AMORTIZACIÓN DE LA DEUDA Y DISMINUCIÓN DE PASIVOS</c:v>
                </c:pt>
                <c:pt idx="3">
                  <c:v>PENSIONES Y JUBILACIONES</c:v>
                </c:pt>
                <c:pt idx="4">
                  <c:v>PARTICIPACIONES</c:v>
                </c:pt>
              </c:strCache>
            </c:strRef>
          </c:cat>
          <c:val>
            <c:numRef>
              <c:f>Tipo!$E$4:$E$8</c:f>
              <c:numCache>
                <c:formatCode>0.00%</c:formatCode>
                <c:ptCount val="5"/>
                <c:pt idx="0">
                  <c:v>0.73006082087676538</c:v>
                </c:pt>
                <c:pt idx="1">
                  <c:v>0.15758322018335191</c:v>
                </c:pt>
                <c:pt idx="2">
                  <c:v>2.0915284345298546E-2</c:v>
                </c:pt>
                <c:pt idx="3">
                  <c:v>8.9368910714788825E-3</c:v>
                </c:pt>
                <c:pt idx="4">
                  <c:v>8.250378352310532E-2</c:v>
                </c:pt>
              </c:numCache>
            </c:numRef>
          </c:val>
          <c:extLst>
            <c:ext xmlns:c16="http://schemas.microsoft.com/office/drawing/2014/chart" uri="{C3380CC4-5D6E-409C-BE32-E72D297353CC}">
              <c16:uniqueId val="{0000000A-EC2D-411A-A72E-DD4C49926765}"/>
            </c:ext>
          </c:extLst>
        </c:ser>
        <c:dLbls>
          <c:showLegendKey val="0"/>
          <c:showVal val="0"/>
          <c:showCatName val="0"/>
          <c:showSerName val="0"/>
          <c:showPercent val="0"/>
          <c:showBubbleSize val="0"/>
          <c:showLeaderLines val="1"/>
        </c:dLbls>
      </c:pie3DChart>
      <c:spPr>
        <a:noFill/>
        <a:ln>
          <a:noFill/>
        </a:ln>
        <a:effectLst/>
      </c:spPr>
    </c:plotArea>
    <c:legend>
      <c:legendPos val="b"/>
      <c:legendEntry>
        <c:idx val="0"/>
        <c:txPr>
          <a:bodyPr rot="0" vert="horz"/>
          <a:lstStyle/>
          <a:p>
            <a:pPr>
              <a:defRPr sz="900">
                <a:ln>
                  <a:noFill/>
                </a:ln>
              </a:defRPr>
            </a:pPr>
            <a:endParaRPr lang="es-MX"/>
          </a:p>
        </c:txPr>
      </c:legendEntry>
      <c:layout>
        <c:manualLayout>
          <c:xMode val="edge"/>
          <c:yMode val="edge"/>
          <c:x val="3.6274571559620529E-2"/>
          <c:y val="0.76088148072400041"/>
          <c:w val="0.94117006172839501"/>
          <c:h val="0.22239356444080849"/>
        </c:manualLayout>
      </c:layout>
      <c:overlay val="0"/>
      <c:spPr>
        <a:noFill/>
        <a:ln>
          <a:noFill/>
        </a:ln>
        <a:effectLst/>
      </c:spPr>
      <c:txPr>
        <a:bodyPr rot="0" vert="horz"/>
        <a:lstStyle/>
        <a:p>
          <a:pPr>
            <a:defRPr sz="900"/>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lgn="ctr" rtl="0">
        <a:defRPr lang="en-US" sz="1000" b="1" i="0" u="none" strike="noStrike" kern="1200" baseline="0">
          <a:solidFill>
            <a:sysClr val="windowText" lastClr="000000">
              <a:lumMod val="75000"/>
              <a:lumOff val="25000"/>
            </a:sysClr>
          </a:solidFill>
          <a:latin typeface="Calibri   "/>
          <a:ea typeface="+mn-ea"/>
          <a:cs typeface="Arial" panose="020B0604020202020204" pitchFamily="34" charset="0"/>
        </a:defRPr>
      </a:pPr>
      <a:endParaRPr lang="es-MX"/>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9B52-F71F-4034-A50B-BC4B2BF7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86</Pages>
  <Words>28325</Words>
  <Characters>155788</Characters>
  <Application>Microsoft Office Word</Application>
  <DocSecurity>0</DocSecurity>
  <Lines>1298</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POLITICA</cp:lastModifiedBy>
  <cp:revision>12</cp:revision>
  <cp:lastPrinted>2022-11-14T16:30:00Z</cp:lastPrinted>
  <dcterms:created xsi:type="dcterms:W3CDTF">2022-11-12T06:25:00Z</dcterms:created>
  <dcterms:modified xsi:type="dcterms:W3CDTF">2022-11-14T16:57:00Z</dcterms:modified>
</cp:coreProperties>
</file>